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00EDA">
      <w:pPr>
        <w:spacing w:before="156" w:beforeLines="50" w:after="156" w:afterLines="50"/>
        <w:jc w:val="center"/>
        <w:rPr>
          <w:rFonts w:hint="eastAsia" w:ascii="黑体" w:eastAsia="黑体"/>
          <w:sz w:val="36"/>
          <w:szCs w:val="36"/>
          <w:u w:val="none"/>
        </w:rPr>
      </w:pPr>
      <w:r>
        <w:rPr>
          <w:rFonts w:hint="eastAsia" w:ascii="黑体" w:eastAsia="黑体"/>
          <w:sz w:val="36"/>
          <w:szCs w:val="36"/>
          <w:u w:val="single"/>
          <w:lang w:val="en-US" w:eastAsia="zh-CN"/>
        </w:rPr>
        <w:t>池州职业技术学院2024年图书书架采购项目（第二次</w:t>
      </w:r>
      <w:bookmarkStart w:id="7" w:name="_GoBack"/>
      <w:bookmarkEnd w:id="7"/>
      <w:r>
        <w:rPr>
          <w:rFonts w:hint="eastAsia" w:ascii="黑体" w:eastAsia="黑体"/>
          <w:sz w:val="36"/>
          <w:szCs w:val="36"/>
          <w:u w:val="single"/>
          <w:lang w:val="en-US" w:eastAsia="zh-CN"/>
        </w:rPr>
        <w:t>）</w:t>
      </w:r>
      <w:r>
        <w:rPr>
          <w:rFonts w:hint="eastAsia" w:ascii="黑体" w:eastAsia="黑体"/>
          <w:sz w:val="36"/>
          <w:szCs w:val="36"/>
          <w:u w:val="none"/>
        </w:rPr>
        <w:t>需求书</w:t>
      </w:r>
    </w:p>
    <w:p w14:paraId="5DFD4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 一、项目概况</w:t>
      </w:r>
    </w:p>
    <w:p w14:paraId="474F3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-134" w:rightChars="-64" w:firstLine="482" w:firstLineChars="200"/>
        <w:jc w:val="left"/>
        <w:textAlignment w:val="auto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1、实施背景</w:t>
      </w:r>
    </w:p>
    <w:p w14:paraId="0999ED1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1" w:lineRule="auto"/>
        <w:ind w:firstLine="482"/>
        <w:jc w:val="both"/>
        <w:textAlignment w:val="auto"/>
        <w:rPr>
          <w:rFonts w:ascii="宋体" w:hAnsi="宋体"/>
          <w:sz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学校图书馆旨在为师生打造优质阅读空间，助力教学科研。但现有书架容量不足，无法满足日益增长的图书收藏需求。为优化馆藏布局，更好地服务师生，特实施此次图书书架采购计划。</w:t>
      </w:r>
    </w:p>
    <w:p w14:paraId="33296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-134" w:rightChars="-64" w:firstLine="482" w:firstLineChars="200"/>
        <w:jc w:val="left"/>
        <w:textAlignment w:val="auto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2、采购内容和预算</w:t>
      </w:r>
    </w:p>
    <w:p w14:paraId="45EAD11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1" w:lineRule="auto"/>
        <w:ind w:firstLine="482"/>
        <w:jc w:val="both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采购40组书架，预算 4万元。</w:t>
      </w:r>
    </w:p>
    <w:p w14:paraId="62C99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-134" w:rightChars="-64" w:firstLine="482" w:firstLineChars="200"/>
        <w:jc w:val="left"/>
        <w:textAlignment w:val="auto"/>
        <w:rPr>
          <w:rFonts w:hint="eastAsia" w:ascii="宋体" w:hAnsi="宋体" w:eastAsia="宋体" w:cs="宋体"/>
          <w:b/>
          <w:kern w:val="0"/>
          <w:sz w:val="24"/>
          <w:lang w:eastAsia="zh-CN"/>
        </w:rPr>
      </w:pPr>
      <w:r>
        <w:rPr>
          <w:rFonts w:hint="eastAsia" w:ascii="宋体" w:hAnsi="宋体" w:cs="宋体"/>
          <w:b/>
          <w:kern w:val="0"/>
          <w:sz w:val="24"/>
        </w:rPr>
        <w:t>3、项目整体用途、功能目标</w:t>
      </w:r>
    </w:p>
    <w:p w14:paraId="34D93A5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1" w:lineRule="auto"/>
        <w:ind w:firstLine="482"/>
        <w:jc w:val="both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bookmarkStart w:id="0" w:name="_Hlk505003689"/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此项目旨在为学校图书馆配备适宜的图书书架。通过采购高质量、大容量且设计合理的书架，实现图书的有序分类存放，方便师生查找借阅，提升图书馆空间利用率，营造良好阅读氛围，促进知识传播与文化交流。</w:t>
      </w:r>
    </w:p>
    <w:bookmarkEnd w:id="0"/>
    <w:p w14:paraId="3B997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</w:t>
      </w:r>
      <w:r>
        <w:rPr>
          <w:rFonts w:hint="eastAsia" w:ascii="宋体" w:hAnsi="宋体" w:cs="宋体"/>
          <w:b/>
          <w:kern w:val="0"/>
          <w:sz w:val="24"/>
        </w:rPr>
        <w:t>二、供应商资格条件</w:t>
      </w:r>
    </w:p>
    <w:p w14:paraId="34791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480"/>
        <w:textAlignment w:val="auto"/>
        <w:rPr>
          <w:rFonts w:hint="eastAsia" w:ascii="宋体" w:hAnsi="宋体" w:cs="宋体"/>
          <w:bCs/>
          <w:kern w:val="0"/>
          <w:sz w:val="24"/>
        </w:rPr>
      </w:pPr>
      <w:bookmarkStart w:id="1" w:name="_Hlk505003704"/>
      <w:r>
        <w:rPr>
          <w:rFonts w:hint="eastAsia" w:ascii="宋体" w:hAnsi="宋体" w:cs="宋体"/>
          <w:bCs/>
          <w:kern w:val="0"/>
          <w:sz w:val="24"/>
        </w:rPr>
        <w:t>1、投标人应具备《政府采购法》第二十二条规定的条件；</w:t>
      </w:r>
    </w:p>
    <w:p w14:paraId="75FA5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/>
        <w:textAlignment w:val="auto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2、具有工商营业执照、税务登记证、组织机构代码证等国家实行强制性要求的相关证件</w:t>
      </w:r>
      <w:r>
        <w:rPr>
          <w:rFonts w:hint="eastAsia" w:ascii="宋体" w:hAnsi="宋体" w:cs="宋体"/>
          <w:bCs/>
          <w:color w:val="auto"/>
          <w:kern w:val="0"/>
          <w:sz w:val="24"/>
        </w:rPr>
        <w:t>；</w:t>
      </w:r>
    </w:p>
    <w:p w14:paraId="74F82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24" w:firstLineChars="177"/>
        <w:textAlignment w:val="auto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3、本项目不接受联合体投标，不允许分包；</w:t>
      </w:r>
    </w:p>
    <w:p w14:paraId="272E1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24" w:firstLineChars="177"/>
        <w:textAlignment w:val="auto"/>
        <w:rPr>
          <w:rFonts w:hint="eastAsia"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4</w:t>
      </w:r>
      <w:r>
        <w:rPr>
          <w:rFonts w:hint="eastAsia" w:ascii="宋体" w:hAnsi="宋体" w:cs="宋体"/>
          <w:bCs/>
          <w:kern w:val="0"/>
          <w:sz w:val="24"/>
        </w:rPr>
        <w:t>、要求能够如期供货，全面、积极配合校方的工作。</w:t>
      </w:r>
    </w:p>
    <w:bookmarkEnd w:id="1"/>
    <w:p w14:paraId="2F98A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/>
        <w:textAlignment w:val="auto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三、采购清单 </w:t>
      </w:r>
    </w:p>
    <w:tbl>
      <w:tblPr>
        <w:tblStyle w:val="6"/>
        <w:tblW w:w="536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2768"/>
        <w:gridCol w:w="1208"/>
        <w:gridCol w:w="1384"/>
        <w:gridCol w:w="3066"/>
      </w:tblGrid>
      <w:tr w14:paraId="46C9D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09" w:type="pct"/>
            <w:noWrap w:val="0"/>
            <w:vAlign w:val="center"/>
          </w:tcPr>
          <w:p w14:paraId="1BC261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442" w:type="pct"/>
            <w:noWrap w:val="0"/>
            <w:vAlign w:val="center"/>
          </w:tcPr>
          <w:p w14:paraId="251E5155"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货物名称</w:t>
            </w:r>
          </w:p>
        </w:tc>
        <w:tc>
          <w:tcPr>
            <w:tcW w:w="629" w:type="pct"/>
            <w:noWrap w:val="0"/>
            <w:vAlign w:val="center"/>
          </w:tcPr>
          <w:p w14:paraId="6E055B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721" w:type="pct"/>
            <w:noWrap w:val="0"/>
            <w:vAlign w:val="center"/>
          </w:tcPr>
          <w:p w14:paraId="5CAE84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597" w:type="pct"/>
            <w:noWrap w:val="0"/>
            <w:vAlign w:val="center"/>
          </w:tcPr>
          <w:p w14:paraId="46E92117"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 w14:paraId="5C61D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609" w:type="pct"/>
            <w:noWrap w:val="0"/>
            <w:vAlign w:val="center"/>
          </w:tcPr>
          <w:p w14:paraId="525B4F09"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42" w:type="pct"/>
            <w:noWrap w:val="0"/>
            <w:vAlign w:val="center"/>
          </w:tcPr>
          <w:p w14:paraId="6C9E476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木护板全钢双面五层书架</w:t>
            </w:r>
          </w:p>
        </w:tc>
        <w:tc>
          <w:tcPr>
            <w:tcW w:w="629" w:type="pct"/>
            <w:noWrap w:val="0"/>
            <w:vAlign w:val="center"/>
          </w:tcPr>
          <w:p w14:paraId="0A61160A"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</w:t>
            </w:r>
          </w:p>
        </w:tc>
        <w:tc>
          <w:tcPr>
            <w:tcW w:w="721" w:type="pct"/>
            <w:noWrap w:val="0"/>
            <w:vAlign w:val="center"/>
          </w:tcPr>
          <w:p w14:paraId="47E20365"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</w:t>
            </w:r>
          </w:p>
        </w:tc>
        <w:tc>
          <w:tcPr>
            <w:tcW w:w="1597" w:type="pct"/>
            <w:noWrap w:val="0"/>
            <w:vAlign w:val="center"/>
          </w:tcPr>
          <w:p w14:paraId="24FEB3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每组书架放置图书大约400本。40组共计放置书16000本。基本满足近两年的采购图书上架。</w:t>
            </w:r>
          </w:p>
        </w:tc>
      </w:tr>
    </w:tbl>
    <w:p w14:paraId="0CABB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2" w:firstLineChars="200"/>
        <w:textAlignment w:val="auto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四、</w:t>
      </w:r>
      <w:r>
        <w:rPr>
          <w:rFonts w:hint="eastAsia" w:ascii="宋体" w:hAnsi="宋体" w:cs="宋体"/>
          <w:b/>
          <w:bCs/>
          <w:kern w:val="0"/>
          <w:sz w:val="24"/>
        </w:rPr>
        <w:t>技术参数及功能要求</w:t>
      </w:r>
    </w:p>
    <w:p w14:paraId="33269D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（一）、技术（质量）标准</w:t>
      </w:r>
    </w:p>
    <w:p w14:paraId="49818C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1、《金属家具通用技术条件》（GB/T3325-2017）</w:t>
      </w:r>
    </w:p>
    <w:p w14:paraId="01C693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2、《钢制书架通用技术条件》GB/T13667.1-2015</w:t>
      </w:r>
    </w:p>
    <w:p w14:paraId="6C1922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3、《室内装饰装修材料 木家具中有害物质限量》（GB/18584-2001）</w:t>
      </w:r>
    </w:p>
    <w:p w14:paraId="526905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4、《金属家具质量检验及质量评定》（QB/T 1951.2-2013）</w:t>
      </w:r>
    </w:p>
    <w:p w14:paraId="199B92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5、《木材含水率测定方法》（GB/T 1931-2009）</w:t>
      </w:r>
    </w:p>
    <w:p w14:paraId="03A71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（二）、技术参数及功能要求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734"/>
        <w:gridCol w:w="5201"/>
        <w:gridCol w:w="1213"/>
      </w:tblGrid>
      <w:tr w14:paraId="4ECCA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46" w:type="pct"/>
            <w:noWrap w:val="0"/>
            <w:vAlign w:val="top"/>
          </w:tcPr>
          <w:p w14:paraId="523F055A">
            <w:pPr>
              <w:spacing w:before="156" w:after="156" w:line="4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969" w:type="pct"/>
            <w:noWrap w:val="0"/>
            <w:vAlign w:val="top"/>
          </w:tcPr>
          <w:p w14:paraId="1FFE7779">
            <w:pPr>
              <w:spacing w:before="156" w:after="156"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2907" w:type="pct"/>
            <w:noWrap w:val="0"/>
            <w:vAlign w:val="top"/>
          </w:tcPr>
          <w:p w14:paraId="40659BB9">
            <w:pPr>
              <w:spacing w:before="156" w:after="156"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技术参数及功能要求</w:t>
            </w:r>
          </w:p>
        </w:tc>
        <w:tc>
          <w:tcPr>
            <w:tcW w:w="678" w:type="pct"/>
            <w:noWrap w:val="0"/>
            <w:vAlign w:val="top"/>
          </w:tcPr>
          <w:p w14:paraId="20A20434">
            <w:pPr>
              <w:spacing w:before="156" w:after="156"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 w14:paraId="720EC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46" w:type="pct"/>
            <w:noWrap w:val="0"/>
            <w:vAlign w:val="center"/>
          </w:tcPr>
          <w:p w14:paraId="042EF4D2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69" w:type="pct"/>
            <w:noWrap w:val="0"/>
            <w:vAlign w:val="center"/>
          </w:tcPr>
          <w:p w14:paraId="05C43C6D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木护板全钢双面五层书架</w:t>
            </w:r>
          </w:p>
        </w:tc>
        <w:tc>
          <w:tcPr>
            <w:tcW w:w="2907" w:type="pct"/>
            <w:noWrap w:val="0"/>
            <w:vAlign w:val="center"/>
          </w:tcPr>
          <w:p w14:paraId="10ADCFFE">
            <w:pPr>
              <w:pStyle w:val="3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bookmarkStart w:id="2" w:name="_Toc19007"/>
            <w:bookmarkStart w:id="3" w:name="_Toc19560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（一）规格样式</w:t>
            </w:r>
            <w:bookmarkEnd w:id="2"/>
            <w:bookmarkEnd w:id="3"/>
          </w:p>
          <w:p w14:paraId="46303BA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drawing>
                <wp:inline distT="0" distB="0" distL="114300" distR="114300">
                  <wp:extent cx="2199640" cy="1562100"/>
                  <wp:effectExtent l="0" t="0" r="1016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64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F54D78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1、规格：930mm（宽）×450mm(厚)×2140mm(高)</w:t>
            </w:r>
          </w:p>
          <w:p w14:paraId="00F5CAA4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2、钢木书架侧护板为橡胶木，顶板四周采用橡胶木包裹。</w:t>
            </w:r>
          </w:p>
          <w:p w14:paraId="15548EB8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2、结构特点：架体采用双柱式立柱结构，中间有隔离板，上下可调节，安全可靠，负载量大，适合书库、图书资料的存放。</w:t>
            </w:r>
          </w:p>
          <w:p w14:paraId="661A2F21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4、载重性能</w:t>
            </w:r>
          </w:p>
          <w:p w14:paraId="4C35D63A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（1）每层搁板单面承重不低于80kg，最大挠度为3mm，24小时卸载后，无裂纹及永久变形，架体、立柱无明显变形，架体无倾倒现象。</w:t>
            </w:r>
          </w:p>
          <w:p w14:paraId="4BFCA755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（2）在受全部载荷1/20外力（沿X、Y轴两个方向的水平外力）的作用反复100次后，取消外力，架体所产生的倾斜不大于总高的1%，支架、立柱无明显的变形。</w:t>
            </w:r>
          </w:p>
          <w:p w14:paraId="408B0D3B">
            <w:pPr>
              <w:pStyle w:val="3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bookmarkStart w:id="4" w:name="_Toc23190"/>
            <w:bookmarkStart w:id="5" w:name="_Toc21874"/>
            <w:bookmarkStart w:id="6" w:name="_Toc24389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（二）书架配置及技术参数</w:t>
            </w:r>
            <w:bookmarkEnd w:id="4"/>
            <w:bookmarkEnd w:id="5"/>
            <w:bookmarkEnd w:id="6"/>
          </w:p>
          <w:p w14:paraId="032BE95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1）立柱：采用≧1.5mm优质冷轧钢板。 2）搁板：采用≧1.2mm优质冷轧钢板，刚性要足，承重能力强。</w:t>
            </w:r>
          </w:p>
          <w:p w14:paraId="1A38873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3）挂板：采用≧1.2mm优质冷轧钢板，组装后平整、牢固。</w:t>
            </w:r>
          </w:p>
          <w:p w14:paraId="29BC833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4）底框：采用≧2.0mm优质冷轧钢板。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5）顶板：采用≧0.8mm优质冷轧钢板。6）档板：采用≧1.0mm优质冷轧钢板。7）钢制部分颜色：具有防锈蚀和抗菌性能。</w:t>
            </w:r>
          </w:p>
          <w:p w14:paraId="61F15A5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8）.木制部分：采用优质橡胶木实木，护板整包外部周围钢件部分，护板框架≧20mm厚，内嵌板材为≧12mm厚；木顶板厚≧25mm，顶边线条≧25mm厚，底边线条≧15mm厚。油漆符合GB 18581-2009《室内装饰装修材料 溶剂型木器涂料中有害物质限量》标准要求,漆膜理化性能达到国际要求，硬度≧2H表面平整，漆面无颗粒、无气泡、无渣点，颜色均匀。木护板顶部双面安装亚克力标插。 </w:t>
            </w:r>
          </w:p>
          <w:p w14:paraId="2A49B5F2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noWrap w:val="0"/>
            <w:vAlign w:val="center"/>
          </w:tcPr>
          <w:p w14:paraId="7B231529"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3FA1198C">
      <w:pPr>
        <w:snapToGrid w:val="0"/>
        <w:spacing w:line="440" w:lineRule="exact"/>
        <w:ind w:firstLine="480" w:firstLineChars="200"/>
        <w:rPr>
          <w:rFonts w:ascii="宋体" w:hAnsi="宋体" w:cs="宋体"/>
          <w:b/>
          <w:color w:val="auto"/>
          <w:kern w:val="0"/>
          <w:sz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（三）</w:t>
      </w:r>
      <w:r>
        <w:rPr>
          <w:rFonts w:hint="eastAsia" w:ascii="宋体" w:hAnsi="宋体" w:cs="宋体"/>
          <w:b/>
          <w:color w:val="auto"/>
          <w:kern w:val="0"/>
          <w:sz w:val="24"/>
        </w:rPr>
        <w:t>实施要求</w:t>
      </w:r>
    </w:p>
    <w:p w14:paraId="7F2F8F3A">
      <w:pPr>
        <w:snapToGrid w:val="0"/>
        <w:spacing w:line="440" w:lineRule="exact"/>
        <w:ind w:firstLine="480" w:firstLineChars="200"/>
        <w:rPr>
          <w:rFonts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  <w:lang w:val="en-US" w:eastAsia="zh-CN"/>
        </w:rPr>
        <w:t>1.</w:t>
      </w:r>
      <w:r>
        <w:rPr>
          <w:rFonts w:hint="eastAsia" w:ascii="宋体" w:hAnsi="宋体" w:cs="宋体"/>
          <w:bCs/>
          <w:color w:val="auto"/>
          <w:kern w:val="0"/>
          <w:sz w:val="24"/>
        </w:rPr>
        <w:t>所有设备必须是厂商原装、全新的产品，符合国家及该产品的出厂标准及相关认证规定的。</w:t>
      </w:r>
    </w:p>
    <w:p w14:paraId="338DA582">
      <w:pPr>
        <w:snapToGrid w:val="0"/>
        <w:spacing w:line="440" w:lineRule="exact"/>
        <w:ind w:firstLine="480" w:firstLineChars="200"/>
        <w:rPr>
          <w:rFonts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  <w:lang w:val="en-US" w:eastAsia="zh-CN"/>
        </w:rPr>
        <w:t>2.</w:t>
      </w:r>
      <w:r>
        <w:rPr>
          <w:rFonts w:hint="eastAsia" w:ascii="宋体" w:hAnsi="宋体" w:cs="宋体"/>
          <w:bCs/>
          <w:color w:val="auto"/>
          <w:kern w:val="0"/>
          <w:sz w:val="24"/>
        </w:rPr>
        <w:t>设备外观清洁，标记编号以及盘面显示等字体清晰，明确。</w:t>
      </w:r>
    </w:p>
    <w:p w14:paraId="00393F83">
      <w:pPr>
        <w:snapToGrid w:val="0"/>
        <w:spacing w:line="440" w:lineRule="exact"/>
        <w:ind w:firstLine="480" w:firstLineChars="200"/>
        <w:rPr>
          <w:rFonts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对于影响设备正常工作的必要组成部分，无论在技术规范中指出与否，报价人都应在报价文件中明确列出。</w:t>
      </w:r>
    </w:p>
    <w:p w14:paraId="39B2E60B">
      <w:pPr>
        <w:snapToGrid w:val="0"/>
        <w:spacing w:line="440" w:lineRule="exact"/>
        <w:ind w:firstLine="480" w:firstLineChars="200"/>
        <w:rPr>
          <w:rFonts w:hint="eastAsia"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  <w:lang w:val="en-US" w:eastAsia="zh-CN"/>
        </w:rPr>
        <w:t>3.</w:t>
      </w:r>
      <w:r>
        <w:rPr>
          <w:rFonts w:hint="eastAsia" w:ascii="宋体" w:hAnsi="宋体" w:cs="宋体"/>
          <w:bCs/>
          <w:color w:val="auto"/>
          <w:kern w:val="0"/>
          <w:sz w:val="24"/>
        </w:rPr>
        <w:t>所有设备提供出厂合格证等质量证明文件。</w:t>
      </w:r>
    </w:p>
    <w:p w14:paraId="62E2A1EE">
      <w:pPr>
        <w:snapToGrid w:val="0"/>
        <w:spacing w:line="440" w:lineRule="exact"/>
        <w:ind w:firstLine="480"/>
        <w:rPr>
          <w:rFonts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所投的产品必须是在中国范围内合法销售，原装、全新、并完全符合用户要求的产品。必须附产品原产地标签、合格证及其他相关的资料。货物完好，物品配件齐全。</w:t>
      </w:r>
    </w:p>
    <w:p w14:paraId="0F4DCB47">
      <w:pPr>
        <w:pStyle w:val="18"/>
        <w:widowControl w:val="0"/>
        <w:autoSpaceDE w:val="0"/>
        <w:autoSpaceDN w:val="0"/>
        <w:spacing w:before="0" w:after="0"/>
        <w:ind w:left="105" w:leftChars="50" w:right="1"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（四）质量、服务要求：</w:t>
      </w:r>
    </w:p>
    <w:p w14:paraId="3B167930">
      <w:pPr>
        <w:pStyle w:val="18"/>
        <w:widowControl w:val="0"/>
        <w:autoSpaceDE w:val="0"/>
        <w:autoSpaceDN w:val="0"/>
        <w:spacing w:before="0" w:after="0"/>
        <w:ind w:left="105" w:leftChars="50" w:right="1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1.表面静电喷塑或镀铬处理，喷塑前经严格去油除锈和磷化处理。</w:t>
      </w:r>
    </w:p>
    <w:p w14:paraId="1ACA5ED2">
      <w:pPr>
        <w:pStyle w:val="18"/>
        <w:widowControl w:val="0"/>
        <w:autoSpaceDE w:val="0"/>
        <w:autoSpaceDN w:val="0"/>
        <w:spacing w:before="0" w:after="0"/>
        <w:ind w:left="105" w:leftChars="50" w:right="1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2.架体结实、坚固，安装规范，层数和间距可自由调整。</w:t>
      </w:r>
    </w:p>
    <w:p w14:paraId="7C7A3F2B">
      <w:pPr>
        <w:pStyle w:val="18"/>
        <w:widowControl w:val="0"/>
        <w:autoSpaceDE w:val="0"/>
        <w:autoSpaceDN w:val="0"/>
        <w:spacing w:before="0" w:after="0"/>
        <w:ind w:left="105" w:leftChars="50" w:right="1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3.门面平整，款式新颖，表面喷塑，设计美观。ISO9001认证产品，精密度高，材料质量好。通过ISO14001环保认证。</w:t>
      </w:r>
    </w:p>
    <w:p w14:paraId="7E5704E5">
      <w:pPr>
        <w:pStyle w:val="18"/>
        <w:widowControl w:val="0"/>
        <w:autoSpaceDE w:val="0"/>
        <w:autoSpaceDN w:val="0"/>
        <w:spacing w:before="0" w:after="0"/>
        <w:ind w:left="105" w:leftChars="50" w:right="1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4.产品表面不允许有明显的划伤、碰伤及凹凸不平；外表精光，内表细光；倒棱、圆角、圆线应均匀一致；产品的内外不得有飞边、毛刺；表面平整、折边刀印不明显。</w:t>
      </w:r>
    </w:p>
    <w:p w14:paraId="51D78FD8">
      <w:pPr>
        <w:pStyle w:val="18"/>
        <w:widowControl w:val="0"/>
        <w:autoSpaceDE w:val="0"/>
        <w:autoSpaceDN w:val="0"/>
        <w:spacing w:before="0" w:after="0"/>
        <w:ind w:left="105" w:leftChars="50" w:right="1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5.安装要求</w:t>
      </w:r>
    </w:p>
    <w:p w14:paraId="394B7F4D">
      <w:pPr>
        <w:pStyle w:val="18"/>
        <w:widowControl w:val="0"/>
        <w:autoSpaceDE w:val="0"/>
        <w:autoSpaceDN w:val="0"/>
        <w:spacing w:before="0" w:after="0"/>
        <w:ind w:left="105" w:leftChars="50" w:right="1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（1）各部安装应牢固可靠，没有松动现象，各结构件和架体无明显变形，架体无倾斜现象。每标准节组合后外型尺寸（长、宽、高）的极限偏差为正负2mm。</w:t>
      </w:r>
    </w:p>
    <w:p w14:paraId="40C5B475">
      <w:pPr>
        <w:pStyle w:val="18"/>
        <w:widowControl w:val="0"/>
        <w:autoSpaceDE w:val="0"/>
        <w:autoSpaceDN w:val="0"/>
        <w:spacing w:before="0" w:after="0"/>
        <w:ind w:left="105" w:leftChars="50" w:right="1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（2）标准架组装后，侧面板与中腰带的对缝处的间隙不大于2mm。</w:t>
      </w:r>
    </w:p>
    <w:p w14:paraId="0C02EB36">
      <w:pPr>
        <w:pStyle w:val="18"/>
        <w:widowControl w:val="0"/>
        <w:autoSpaceDE w:val="0"/>
        <w:autoSpaceDN w:val="0"/>
        <w:spacing w:before="0" w:after="0"/>
        <w:ind w:left="105" w:leftChars="50" w:right="1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（3）门缝间隙在安装保障的前提下，均匀一致在1-2mm之间。</w:t>
      </w:r>
    </w:p>
    <w:p w14:paraId="3FD74955">
      <w:pPr>
        <w:pStyle w:val="18"/>
        <w:widowControl w:val="0"/>
        <w:autoSpaceDE w:val="0"/>
        <w:autoSpaceDN w:val="0"/>
        <w:spacing w:before="0" w:after="0"/>
        <w:ind w:left="105" w:leftChars="50" w:right="1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24小时卸载后，无裂纹及永久变形，架体、立柱无明显变形，架体无倾倒现象。</w:t>
      </w:r>
    </w:p>
    <w:p w14:paraId="686AA513">
      <w:pPr>
        <w:pStyle w:val="18"/>
        <w:widowControl w:val="0"/>
        <w:autoSpaceDE w:val="0"/>
        <w:autoSpaceDN w:val="0"/>
        <w:spacing w:before="0" w:after="0"/>
        <w:ind w:left="105" w:leftChars="50" w:right="1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在受全部载荷1/20外力（沿X、Y轴两个方向的水平外力）的作用反复100次后，取消外力，架体所产生的倾斜不大于总高的1%，支架、立柱无明显的变形。安装验收交付使用3年内提供免费保修、保养，免费更换或维修损坏零部件。</w:t>
      </w:r>
    </w:p>
    <w:p w14:paraId="58D1347B">
      <w:pPr>
        <w:pStyle w:val="18"/>
        <w:widowControl w:val="0"/>
        <w:autoSpaceDE w:val="0"/>
        <w:autoSpaceDN w:val="0"/>
        <w:spacing w:before="0" w:after="0"/>
        <w:ind w:left="105" w:leftChars="50" w:right="1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（5）随时为用户提供满意的售后服务，随叫随到。免费提供一定数量的易耗配件，便于自己排除小故障。</w:t>
      </w:r>
    </w:p>
    <w:p w14:paraId="6AD62EC5">
      <w:pPr>
        <w:pStyle w:val="18"/>
        <w:widowControl w:val="0"/>
        <w:autoSpaceDE w:val="0"/>
        <w:autoSpaceDN w:val="0"/>
        <w:spacing w:before="0" w:after="0"/>
        <w:ind w:left="105" w:leftChars="50" w:right="1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（6）设备质保期3年，终身维修。质保期内因设备本身原因损坏免收一切费用。产品焊接开裂、部件断裂、塑层脱落等原始制造质量问题，免费更换。</w:t>
      </w:r>
    </w:p>
    <w:p w14:paraId="06E13FFD">
      <w:pPr>
        <w:pStyle w:val="18"/>
        <w:widowControl w:val="0"/>
        <w:autoSpaceDE w:val="0"/>
        <w:autoSpaceDN w:val="0"/>
        <w:spacing w:before="0" w:after="0"/>
        <w:ind w:left="105" w:leftChars="50" w:right="1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附：书架用材一览表</w:t>
      </w:r>
    </w:p>
    <w:tbl>
      <w:tblPr>
        <w:tblStyle w:val="6"/>
        <w:tblW w:w="9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535"/>
        <w:gridCol w:w="1685"/>
        <w:gridCol w:w="1608"/>
        <w:gridCol w:w="3100"/>
      </w:tblGrid>
      <w:tr w14:paraId="32E16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33" w:type="dxa"/>
            <w:vMerge w:val="restart"/>
            <w:noWrap w:val="0"/>
            <w:vAlign w:val="center"/>
          </w:tcPr>
          <w:p w14:paraId="13901158">
            <w:pPr>
              <w:pStyle w:val="18"/>
              <w:widowControl w:val="0"/>
              <w:autoSpaceDE w:val="0"/>
              <w:autoSpaceDN w:val="0"/>
              <w:spacing w:before="0" w:after="0"/>
              <w:ind w:right="1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主要材料</w:t>
            </w:r>
          </w:p>
        </w:tc>
        <w:tc>
          <w:tcPr>
            <w:tcW w:w="1535" w:type="dxa"/>
            <w:noWrap w:val="0"/>
            <w:vAlign w:val="center"/>
          </w:tcPr>
          <w:p w14:paraId="52A99CEB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3293" w:type="dxa"/>
            <w:gridSpan w:val="2"/>
            <w:noWrap w:val="0"/>
            <w:vAlign w:val="center"/>
          </w:tcPr>
          <w:p w14:paraId="7C4BF30D">
            <w:pPr>
              <w:spacing w:line="360" w:lineRule="auto"/>
              <w:ind w:firstLine="960" w:firstLineChars="4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材质</w:t>
            </w:r>
          </w:p>
        </w:tc>
        <w:tc>
          <w:tcPr>
            <w:tcW w:w="3100" w:type="dxa"/>
            <w:noWrap w:val="0"/>
            <w:vAlign w:val="center"/>
          </w:tcPr>
          <w:p w14:paraId="2CAA1275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</w:t>
            </w:r>
          </w:p>
        </w:tc>
      </w:tr>
      <w:tr w14:paraId="21BE7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33" w:type="dxa"/>
            <w:vMerge w:val="continue"/>
            <w:noWrap w:val="0"/>
            <w:vAlign w:val="center"/>
          </w:tcPr>
          <w:p w14:paraId="6B255003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48185A07"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底架</w:t>
            </w:r>
          </w:p>
        </w:tc>
        <w:tc>
          <w:tcPr>
            <w:tcW w:w="1685" w:type="dxa"/>
            <w:noWrap w:val="0"/>
            <w:vAlign w:val="center"/>
          </w:tcPr>
          <w:p w14:paraId="27568177"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冷轧钢板</w:t>
            </w:r>
          </w:p>
        </w:tc>
        <w:tc>
          <w:tcPr>
            <w:tcW w:w="1608" w:type="dxa"/>
            <w:noWrap w:val="0"/>
            <w:vAlign w:val="center"/>
          </w:tcPr>
          <w:p w14:paraId="2FE5AFE2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SPCC</w:t>
            </w:r>
          </w:p>
        </w:tc>
        <w:tc>
          <w:tcPr>
            <w:tcW w:w="3100" w:type="dxa"/>
            <w:noWrap w:val="0"/>
            <w:vAlign w:val="center"/>
          </w:tcPr>
          <w:p w14:paraId="19D03021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≧2.0 mm</w:t>
            </w:r>
          </w:p>
        </w:tc>
      </w:tr>
      <w:tr w14:paraId="234F6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33" w:type="dxa"/>
            <w:vMerge w:val="continue"/>
            <w:noWrap w:val="0"/>
            <w:vAlign w:val="center"/>
          </w:tcPr>
          <w:p w14:paraId="542AABB5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39C81F26">
            <w:pPr>
              <w:pStyle w:val="18"/>
              <w:widowControl w:val="0"/>
              <w:autoSpaceDE w:val="0"/>
              <w:autoSpaceDN w:val="0"/>
              <w:spacing w:before="0" w:after="0"/>
              <w:ind w:right="1" w:firstLine="240" w:firstLine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挂板</w:t>
            </w:r>
          </w:p>
        </w:tc>
        <w:tc>
          <w:tcPr>
            <w:tcW w:w="1685" w:type="dxa"/>
            <w:noWrap w:val="0"/>
            <w:vAlign w:val="center"/>
          </w:tcPr>
          <w:p w14:paraId="0CD70E1D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冷轧钢板</w:t>
            </w:r>
          </w:p>
        </w:tc>
        <w:tc>
          <w:tcPr>
            <w:tcW w:w="1608" w:type="dxa"/>
            <w:noWrap w:val="0"/>
            <w:vAlign w:val="center"/>
          </w:tcPr>
          <w:p w14:paraId="077F1A96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SPCC</w:t>
            </w:r>
          </w:p>
        </w:tc>
        <w:tc>
          <w:tcPr>
            <w:tcW w:w="3100" w:type="dxa"/>
            <w:noWrap w:val="0"/>
            <w:vAlign w:val="center"/>
          </w:tcPr>
          <w:p w14:paraId="13C837FA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1.0 mm</w:t>
            </w:r>
          </w:p>
        </w:tc>
      </w:tr>
      <w:tr w14:paraId="44C3A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33" w:type="dxa"/>
            <w:vMerge w:val="continue"/>
            <w:noWrap w:val="0"/>
            <w:vAlign w:val="center"/>
          </w:tcPr>
          <w:p w14:paraId="61573246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32452F9D">
            <w:pPr>
              <w:pStyle w:val="18"/>
              <w:widowControl w:val="0"/>
              <w:autoSpaceDE w:val="0"/>
              <w:autoSpaceDN w:val="0"/>
              <w:spacing w:before="0" w:after="0"/>
              <w:ind w:right="1" w:firstLine="240" w:firstLine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立柱</w:t>
            </w:r>
          </w:p>
        </w:tc>
        <w:tc>
          <w:tcPr>
            <w:tcW w:w="1685" w:type="dxa"/>
            <w:noWrap w:val="0"/>
            <w:vAlign w:val="center"/>
          </w:tcPr>
          <w:p w14:paraId="68E17482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冷轧钢板</w:t>
            </w:r>
          </w:p>
        </w:tc>
        <w:tc>
          <w:tcPr>
            <w:tcW w:w="1608" w:type="dxa"/>
            <w:noWrap w:val="0"/>
            <w:vAlign w:val="center"/>
          </w:tcPr>
          <w:p w14:paraId="7642B7F6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SPCC</w:t>
            </w:r>
          </w:p>
        </w:tc>
        <w:tc>
          <w:tcPr>
            <w:tcW w:w="3100" w:type="dxa"/>
            <w:noWrap w:val="0"/>
            <w:vAlign w:val="center"/>
          </w:tcPr>
          <w:p w14:paraId="3F0CC8DF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1.5 mm</w:t>
            </w:r>
          </w:p>
        </w:tc>
      </w:tr>
      <w:tr w14:paraId="5BB32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33" w:type="dxa"/>
            <w:vMerge w:val="continue"/>
            <w:noWrap w:val="0"/>
            <w:vAlign w:val="center"/>
          </w:tcPr>
          <w:p w14:paraId="52BDB293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42437ADE">
            <w:pPr>
              <w:pStyle w:val="18"/>
              <w:widowControl w:val="0"/>
              <w:autoSpaceDE w:val="0"/>
              <w:autoSpaceDN w:val="0"/>
              <w:spacing w:before="0" w:after="0"/>
              <w:ind w:right="1" w:firstLine="240" w:firstLine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档棒</w:t>
            </w:r>
          </w:p>
        </w:tc>
        <w:tc>
          <w:tcPr>
            <w:tcW w:w="1685" w:type="dxa"/>
            <w:noWrap w:val="0"/>
            <w:vAlign w:val="center"/>
          </w:tcPr>
          <w:p w14:paraId="1554A431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冷轧钢板</w:t>
            </w:r>
          </w:p>
        </w:tc>
        <w:tc>
          <w:tcPr>
            <w:tcW w:w="1608" w:type="dxa"/>
            <w:noWrap w:val="0"/>
            <w:vAlign w:val="center"/>
          </w:tcPr>
          <w:p w14:paraId="5752B9E1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SPCC</w:t>
            </w:r>
          </w:p>
        </w:tc>
        <w:tc>
          <w:tcPr>
            <w:tcW w:w="3100" w:type="dxa"/>
            <w:noWrap w:val="0"/>
            <w:vAlign w:val="center"/>
          </w:tcPr>
          <w:p w14:paraId="14E561DB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0.7 mm</w:t>
            </w:r>
          </w:p>
        </w:tc>
      </w:tr>
      <w:tr w14:paraId="619EC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33" w:type="dxa"/>
            <w:vMerge w:val="continue"/>
            <w:noWrap w:val="0"/>
            <w:vAlign w:val="center"/>
          </w:tcPr>
          <w:p w14:paraId="1F442830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574C008D">
            <w:pPr>
              <w:pStyle w:val="18"/>
              <w:widowControl w:val="0"/>
              <w:autoSpaceDE w:val="0"/>
              <w:autoSpaceDN w:val="0"/>
              <w:spacing w:before="0" w:after="0"/>
              <w:ind w:right="1" w:firstLine="240" w:firstLine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顶板</w:t>
            </w:r>
          </w:p>
        </w:tc>
        <w:tc>
          <w:tcPr>
            <w:tcW w:w="1685" w:type="dxa"/>
            <w:noWrap w:val="0"/>
            <w:vAlign w:val="center"/>
          </w:tcPr>
          <w:p w14:paraId="6CED06D2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冷轧钢板</w:t>
            </w:r>
          </w:p>
        </w:tc>
        <w:tc>
          <w:tcPr>
            <w:tcW w:w="1608" w:type="dxa"/>
            <w:noWrap w:val="0"/>
            <w:vAlign w:val="center"/>
          </w:tcPr>
          <w:p w14:paraId="530A7C9E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SPCC</w:t>
            </w:r>
          </w:p>
        </w:tc>
        <w:tc>
          <w:tcPr>
            <w:tcW w:w="3100" w:type="dxa"/>
            <w:noWrap w:val="0"/>
            <w:vAlign w:val="center"/>
          </w:tcPr>
          <w:p w14:paraId="0B5CAA49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1.0 mm</w:t>
            </w:r>
          </w:p>
        </w:tc>
      </w:tr>
      <w:tr w14:paraId="1CEE4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33" w:type="dxa"/>
            <w:vMerge w:val="continue"/>
            <w:noWrap w:val="0"/>
            <w:vAlign w:val="center"/>
          </w:tcPr>
          <w:p w14:paraId="2EDDC1A3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00B57553">
            <w:pPr>
              <w:pStyle w:val="18"/>
              <w:widowControl w:val="0"/>
              <w:autoSpaceDE w:val="0"/>
              <w:autoSpaceDN w:val="0"/>
              <w:spacing w:before="0" w:after="0"/>
              <w:ind w:right="1" w:firstLine="240" w:firstLine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搁板</w:t>
            </w:r>
          </w:p>
        </w:tc>
        <w:tc>
          <w:tcPr>
            <w:tcW w:w="1685" w:type="dxa"/>
            <w:noWrap w:val="0"/>
            <w:vAlign w:val="center"/>
          </w:tcPr>
          <w:p w14:paraId="067ED2AB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冷轧钢板</w:t>
            </w:r>
          </w:p>
        </w:tc>
        <w:tc>
          <w:tcPr>
            <w:tcW w:w="1608" w:type="dxa"/>
            <w:noWrap w:val="0"/>
            <w:vAlign w:val="center"/>
          </w:tcPr>
          <w:p w14:paraId="58B2A532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SPCC</w:t>
            </w:r>
          </w:p>
        </w:tc>
        <w:tc>
          <w:tcPr>
            <w:tcW w:w="3100" w:type="dxa"/>
            <w:noWrap w:val="0"/>
            <w:vAlign w:val="center"/>
          </w:tcPr>
          <w:p w14:paraId="18C99EFA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1.0 mm</w:t>
            </w:r>
          </w:p>
        </w:tc>
      </w:tr>
      <w:tr w14:paraId="1ADE0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33" w:type="dxa"/>
            <w:noWrap w:val="0"/>
            <w:vAlign w:val="center"/>
          </w:tcPr>
          <w:p w14:paraId="17447939">
            <w:pPr>
              <w:pStyle w:val="18"/>
              <w:widowControl w:val="0"/>
              <w:autoSpaceDE w:val="0"/>
              <w:autoSpaceDN w:val="0"/>
              <w:spacing w:before="0" w:after="0"/>
              <w:ind w:right="1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承重性能</w:t>
            </w:r>
          </w:p>
        </w:tc>
        <w:tc>
          <w:tcPr>
            <w:tcW w:w="7928" w:type="dxa"/>
            <w:gridSpan w:val="4"/>
            <w:noWrap w:val="0"/>
            <w:vAlign w:val="center"/>
          </w:tcPr>
          <w:p w14:paraId="6A81F7F6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每层额定承重：80kg以上（超国标），层板层次及高低可自行任意调节。</w:t>
            </w:r>
          </w:p>
        </w:tc>
      </w:tr>
      <w:tr w14:paraId="29192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33" w:type="dxa"/>
            <w:vMerge w:val="restart"/>
            <w:noWrap w:val="0"/>
            <w:vAlign w:val="center"/>
          </w:tcPr>
          <w:p w14:paraId="7D160C3C">
            <w:pPr>
              <w:pStyle w:val="18"/>
              <w:widowControl w:val="0"/>
              <w:autoSpaceDE w:val="0"/>
              <w:autoSpaceDN w:val="0"/>
              <w:spacing w:before="0" w:after="0"/>
              <w:ind w:right="1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涂装参数</w:t>
            </w:r>
          </w:p>
        </w:tc>
        <w:tc>
          <w:tcPr>
            <w:tcW w:w="3220" w:type="dxa"/>
            <w:gridSpan w:val="2"/>
            <w:noWrap w:val="0"/>
            <w:vAlign w:val="center"/>
          </w:tcPr>
          <w:p w14:paraId="7CEE93DA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静电喷粉</w:t>
            </w:r>
          </w:p>
        </w:tc>
        <w:tc>
          <w:tcPr>
            <w:tcW w:w="4708" w:type="dxa"/>
            <w:gridSpan w:val="2"/>
            <w:noWrap w:val="0"/>
            <w:vAlign w:val="center"/>
          </w:tcPr>
          <w:p w14:paraId="76D11BA4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优质环保树脂粉末</w:t>
            </w:r>
          </w:p>
        </w:tc>
      </w:tr>
      <w:tr w14:paraId="4DDE1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33" w:type="dxa"/>
            <w:vMerge w:val="continue"/>
            <w:noWrap w:val="0"/>
            <w:vAlign w:val="center"/>
          </w:tcPr>
          <w:p w14:paraId="3F6F2928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20" w:type="dxa"/>
            <w:gridSpan w:val="2"/>
            <w:noWrap w:val="0"/>
            <w:vAlign w:val="center"/>
          </w:tcPr>
          <w:p w14:paraId="31CD4F82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喷粉厚度</w:t>
            </w:r>
          </w:p>
        </w:tc>
        <w:tc>
          <w:tcPr>
            <w:tcW w:w="4708" w:type="dxa"/>
            <w:gridSpan w:val="2"/>
            <w:noWrap w:val="0"/>
            <w:vAlign w:val="center"/>
          </w:tcPr>
          <w:p w14:paraId="3B2E5696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0.02mm-0.08mm</w:t>
            </w:r>
          </w:p>
        </w:tc>
      </w:tr>
      <w:tr w14:paraId="50098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33" w:type="dxa"/>
            <w:vMerge w:val="continue"/>
            <w:noWrap w:val="0"/>
            <w:vAlign w:val="center"/>
          </w:tcPr>
          <w:p w14:paraId="54254D2C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20" w:type="dxa"/>
            <w:gridSpan w:val="2"/>
            <w:noWrap w:val="0"/>
            <w:vAlign w:val="center"/>
          </w:tcPr>
          <w:p w14:paraId="2EB85831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硬度</w:t>
            </w:r>
          </w:p>
        </w:tc>
        <w:tc>
          <w:tcPr>
            <w:tcW w:w="4708" w:type="dxa"/>
            <w:gridSpan w:val="2"/>
            <w:noWrap w:val="0"/>
            <w:vAlign w:val="center"/>
          </w:tcPr>
          <w:p w14:paraId="31229A9A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≥F</w:t>
            </w:r>
          </w:p>
        </w:tc>
      </w:tr>
      <w:tr w14:paraId="2243D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33" w:type="dxa"/>
            <w:vMerge w:val="continue"/>
            <w:noWrap w:val="0"/>
            <w:vAlign w:val="center"/>
          </w:tcPr>
          <w:p w14:paraId="608F3620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20" w:type="dxa"/>
            <w:gridSpan w:val="2"/>
            <w:noWrap w:val="0"/>
            <w:vAlign w:val="center"/>
          </w:tcPr>
          <w:p w14:paraId="63DF04C0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附着力</w:t>
            </w:r>
          </w:p>
        </w:tc>
        <w:tc>
          <w:tcPr>
            <w:tcW w:w="4708" w:type="dxa"/>
            <w:gridSpan w:val="2"/>
            <w:noWrap w:val="0"/>
            <w:vAlign w:val="center"/>
          </w:tcPr>
          <w:p w14:paraId="3F344BDC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GB1720(二级以上)</w:t>
            </w:r>
          </w:p>
        </w:tc>
      </w:tr>
      <w:tr w14:paraId="7445A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33" w:type="dxa"/>
            <w:vMerge w:val="continue"/>
            <w:noWrap w:val="0"/>
            <w:vAlign w:val="center"/>
          </w:tcPr>
          <w:p w14:paraId="34219019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20" w:type="dxa"/>
            <w:gridSpan w:val="2"/>
            <w:noWrap w:val="0"/>
            <w:vAlign w:val="center"/>
          </w:tcPr>
          <w:p w14:paraId="4C036654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光泽度</w:t>
            </w:r>
          </w:p>
        </w:tc>
        <w:tc>
          <w:tcPr>
            <w:tcW w:w="4708" w:type="dxa"/>
            <w:gridSpan w:val="2"/>
            <w:noWrap w:val="0"/>
            <w:vAlign w:val="center"/>
          </w:tcPr>
          <w:p w14:paraId="020BCB48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≥32°</w:t>
            </w:r>
          </w:p>
        </w:tc>
      </w:tr>
      <w:tr w14:paraId="621BA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33" w:type="dxa"/>
            <w:vMerge w:val="continue"/>
            <w:noWrap w:val="0"/>
            <w:vAlign w:val="center"/>
          </w:tcPr>
          <w:p w14:paraId="4DE4CA0A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ADB26EC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冲击强度</w:t>
            </w:r>
          </w:p>
        </w:tc>
        <w:tc>
          <w:tcPr>
            <w:tcW w:w="47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C92A283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≥3.92J无剥落，裂纹或皱纹等</w:t>
            </w:r>
          </w:p>
        </w:tc>
      </w:tr>
      <w:tr w14:paraId="4119E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33" w:type="dxa"/>
            <w:vMerge w:val="continue"/>
            <w:noWrap w:val="0"/>
            <w:vAlign w:val="center"/>
          </w:tcPr>
          <w:p w14:paraId="0DBB030A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20" w:type="dxa"/>
            <w:gridSpan w:val="2"/>
            <w:noWrap w:val="0"/>
            <w:vAlign w:val="center"/>
          </w:tcPr>
          <w:p w14:paraId="6F55F3AB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防腐蚀耐高温</w:t>
            </w:r>
          </w:p>
        </w:tc>
        <w:tc>
          <w:tcPr>
            <w:tcW w:w="4708" w:type="dxa"/>
            <w:gridSpan w:val="2"/>
            <w:noWrap w:val="0"/>
            <w:vAlign w:val="center"/>
          </w:tcPr>
          <w:p w14:paraId="22C0AFF8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耐碱性（5%NAOH）168h无异常、耐酸性（3%HCL）240h无异常耐沸水性12h无异常</w:t>
            </w:r>
          </w:p>
        </w:tc>
      </w:tr>
      <w:tr w14:paraId="2409A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33" w:type="dxa"/>
            <w:vMerge w:val="restart"/>
            <w:noWrap w:val="0"/>
            <w:vAlign w:val="center"/>
          </w:tcPr>
          <w:p w14:paraId="2436F45F">
            <w:pPr>
              <w:pStyle w:val="18"/>
              <w:widowControl w:val="0"/>
              <w:autoSpaceDE w:val="0"/>
              <w:autoSpaceDN w:val="0"/>
              <w:spacing w:before="0" w:after="0"/>
              <w:ind w:right="1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执行标准</w:t>
            </w:r>
          </w:p>
        </w:tc>
        <w:tc>
          <w:tcPr>
            <w:tcW w:w="1535" w:type="dxa"/>
            <w:noWrap w:val="0"/>
            <w:vAlign w:val="center"/>
          </w:tcPr>
          <w:p w14:paraId="0C5177D4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产品</w:t>
            </w:r>
          </w:p>
        </w:tc>
        <w:tc>
          <w:tcPr>
            <w:tcW w:w="6393" w:type="dxa"/>
            <w:gridSpan w:val="3"/>
            <w:noWrap w:val="0"/>
            <w:vAlign w:val="center"/>
          </w:tcPr>
          <w:p w14:paraId="2054A317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《钢制书架通用技术条件》GB/T13667.1-2015</w:t>
            </w:r>
          </w:p>
        </w:tc>
      </w:tr>
      <w:tr w14:paraId="05B5D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33" w:type="dxa"/>
            <w:vMerge w:val="continue"/>
            <w:noWrap w:val="0"/>
            <w:vAlign w:val="center"/>
          </w:tcPr>
          <w:p w14:paraId="1B6B36CA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7D931955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用材</w:t>
            </w:r>
          </w:p>
        </w:tc>
        <w:tc>
          <w:tcPr>
            <w:tcW w:w="6393" w:type="dxa"/>
            <w:gridSpan w:val="3"/>
            <w:noWrap w:val="0"/>
            <w:vAlign w:val="center"/>
          </w:tcPr>
          <w:p w14:paraId="06A8A241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GB/T11253-2019和GB/T13237-2013</w:t>
            </w:r>
          </w:p>
        </w:tc>
      </w:tr>
      <w:tr w14:paraId="7DCDB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33" w:type="dxa"/>
            <w:vMerge w:val="continue"/>
            <w:noWrap w:val="0"/>
            <w:vAlign w:val="center"/>
          </w:tcPr>
          <w:p w14:paraId="05C45D66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745CF6F1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表面</w:t>
            </w:r>
          </w:p>
        </w:tc>
        <w:tc>
          <w:tcPr>
            <w:tcW w:w="6393" w:type="dxa"/>
            <w:gridSpan w:val="3"/>
            <w:noWrap w:val="0"/>
            <w:vAlign w:val="center"/>
          </w:tcPr>
          <w:p w14:paraId="08C80DA3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GB/T3325-2017规范</w:t>
            </w:r>
          </w:p>
        </w:tc>
      </w:tr>
    </w:tbl>
    <w:p w14:paraId="1EE8E60A">
      <w:pPr>
        <w:pStyle w:val="18"/>
        <w:widowControl w:val="0"/>
        <w:autoSpaceDE w:val="0"/>
        <w:autoSpaceDN w:val="0"/>
        <w:spacing w:before="0" w:after="0"/>
        <w:ind w:left="105" w:leftChars="50" w:right="1" w:firstLine="480" w:firstLineChars="200"/>
        <w:jc w:val="left"/>
        <w:rPr>
          <w:rFonts w:hint="eastAsia" w:ascii="仿宋" w:hAnsi="仿宋" w:eastAsia="仿宋" w:cs="宋体"/>
          <w:color w:val="000000"/>
          <w:sz w:val="24"/>
          <w:szCs w:val="24"/>
          <w:lang w:eastAsia="zh-CN"/>
        </w:rPr>
      </w:pPr>
    </w:p>
    <w:p w14:paraId="7B3927CE">
      <w:pPr>
        <w:snapToGrid w:val="0"/>
        <w:spacing w:line="440" w:lineRule="exact"/>
        <w:ind w:firstLine="480"/>
        <w:rPr>
          <w:rFonts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</w:rPr>
        <w:t>五、商务需求（合同主要条款）</w:t>
      </w:r>
    </w:p>
    <w:p w14:paraId="3F5EFDB7">
      <w:pPr>
        <w:snapToGrid w:val="0"/>
        <w:spacing w:line="440" w:lineRule="exact"/>
        <w:ind w:firstLine="480"/>
        <w:rPr>
          <w:rFonts w:hint="eastAsia"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</w:rPr>
        <w:t>1、供货要求</w:t>
      </w:r>
    </w:p>
    <w:p w14:paraId="45DD2972">
      <w:pPr>
        <w:snapToGrid w:val="0"/>
        <w:spacing w:line="440" w:lineRule="exact"/>
        <w:ind w:firstLine="480"/>
        <w:rPr>
          <w:rFonts w:hint="eastAsia"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时间：签订合同的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60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天内安装调试完毕并交付使用</w:t>
      </w:r>
      <w:r>
        <w:rPr>
          <w:rFonts w:hint="eastAsia" w:ascii="宋体" w:hAnsi="宋体" w:cs="宋体"/>
          <w:bCs/>
          <w:color w:val="auto"/>
          <w:kern w:val="0"/>
          <w:sz w:val="24"/>
        </w:rPr>
        <w:t>。</w:t>
      </w:r>
    </w:p>
    <w:p w14:paraId="39365DE1">
      <w:pPr>
        <w:snapToGrid w:val="0"/>
        <w:spacing w:line="440" w:lineRule="exact"/>
        <w:ind w:firstLine="480"/>
        <w:rPr>
          <w:rFonts w:hint="eastAsia"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地点：池州职业技术学院指定地点；</w:t>
      </w:r>
    </w:p>
    <w:p w14:paraId="0D6BDCB7">
      <w:pPr>
        <w:snapToGrid w:val="0"/>
        <w:spacing w:line="440" w:lineRule="exact"/>
        <w:ind w:firstLine="480"/>
        <w:rPr>
          <w:rFonts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包装要求:所有设备必须包装完好，涉及的所有仪器设备等必须原厂包装，不得拆封。</w:t>
      </w:r>
    </w:p>
    <w:p w14:paraId="4871E37C">
      <w:pPr>
        <w:snapToGrid w:val="0"/>
        <w:spacing w:line="440" w:lineRule="exact"/>
        <w:ind w:firstLine="480"/>
        <w:rPr>
          <w:rFonts w:ascii="宋体" w:hAnsi="宋体" w:cs="宋体"/>
          <w:b/>
          <w:color w:val="auto"/>
          <w:kern w:val="0"/>
          <w:sz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</w:rPr>
        <w:t>2、安装调试</w:t>
      </w:r>
    </w:p>
    <w:p w14:paraId="65890728">
      <w:pPr>
        <w:snapToGrid w:val="0"/>
        <w:spacing w:line="440" w:lineRule="exact"/>
        <w:ind w:firstLine="480"/>
        <w:rPr>
          <w:rFonts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（1）中标人负责到用户指定的安装地点进行安装调试。</w:t>
      </w:r>
    </w:p>
    <w:p w14:paraId="3357DE75">
      <w:pPr>
        <w:snapToGrid w:val="0"/>
        <w:spacing w:line="440" w:lineRule="exact"/>
        <w:ind w:firstLine="480"/>
        <w:rPr>
          <w:rFonts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（2）中标人应设安装负责人，负责安装协调管理工作。</w:t>
      </w:r>
    </w:p>
    <w:p w14:paraId="03918B6C">
      <w:pPr>
        <w:snapToGrid w:val="0"/>
        <w:spacing w:line="440" w:lineRule="exact"/>
        <w:ind w:firstLine="480"/>
        <w:rPr>
          <w:rFonts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（3）安装所需工具设施物料由中标人自备、自费运到现场，完工后自费搬走。</w:t>
      </w:r>
    </w:p>
    <w:p w14:paraId="12038508">
      <w:pPr>
        <w:snapToGrid w:val="0"/>
        <w:spacing w:line="440" w:lineRule="exact"/>
        <w:ind w:firstLine="480"/>
        <w:rPr>
          <w:rFonts w:hint="eastAsia"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（4）调试：按国家相关验收规范进行。</w:t>
      </w:r>
    </w:p>
    <w:p w14:paraId="6A70FF6D">
      <w:pPr>
        <w:snapToGrid w:val="0"/>
        <w:spacing w:line="440" w:lineRule="exact"/>
        <w:ind w:firstLine="480"/>
        <w:rPr>
          <w:rFonts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（5）仪器设备的拆箱、安装、通电、调试等项工作由中标人负责，但必须在采购人指定人员的参与下进行。调试的原始记录须经各方签字后作为验收的文件之一。</w:t>
      </w:r>
    </w:p>
    <w:p w14:paraId="01E87F3B">
      <w:pPr>
        <w:snapToGrid w:val="0"/>
        <w:spacing w:line="440" w:lineRule="exact"/>
        <w:ind w:firstLine="480"/>
        <w:rPr>
          <w:rFonts w:ascii="宋体" w:hAnsi="宋体" w:cs="宋体"/>
          <w:b/>
          <w:color w:val="auto"/>
          <w:kern w:val="0"/>
          <w:sz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</w:rPr>
        <w:t>3、检测验收</w:t>
      </w:r>
    </w:p>
    <w:p w14:paraId="6DE8E747">
      <w:pPr>
        <w:snapToGrid w:val="0"/>
        <w:spacing w:line="440" w:lineRule="exact"/>
        <w:ind w:firstLine="480"/>
        <w:rPr>
          <w:rFonts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（1）投标人货物安装调试合格后，经过双方检验认可，签署验收报告，产品保修期自验收合格之日起算，由投标人提供产品保修文件。</w:t>
      </w:r>
    </w:p>
    <w:p w14:paraId="329A8D88">
      <w:pPr>
        <w:snapToGrid w:val="0"/>
        <w:spacing w:line="440" w:lineRule="exact"/>
        <w:ind w:firstLine="480"/>
        <w:rPr>
          <w:rFonts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（2）当满足以下条件时，采购单位才向中标人签发货物验收报告：</w:t>
      </w:r>
    </w:p>
    <w:p w14:paraId="00EB4EBB">
      <w:pPr>
        <w:snapToGrid w:val="0"/>
        <w:spacing w:line="440" w:lineRule="exact"/>
        <w:ind w:firstLine="480"/>
        <w:rPr>
          <w:rFonts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1）中标人已按照合同规定提供了全部产品及完整的技术资料。</w:t>
      </w:r>
    </w:p>
    <w:p w14:paraId="340EF4A9">
      <w:pPr>
        <w:snapToGrid w:val="0"/>
        <w:spacing w:line="440" w:lineRule="exact"/>
        <w:ind w:firstLine="480"/>
        <w:rPr>
          <w:rFonts w:hint="eastAsia"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2）货物符合招标文件技术规格书的要求，性能满足要求。</w:t>
      </w:r>
    </w:p>
    <w:p w14:paraId="7A2114D0">
      <w:pPr>
        <w:snapToGrid w:val="0"/>
        <w:spacing w:line="440" w:lineRule="exact"/>
        <w:ind w:firstLine="480"/>
        <w:rPr>
          <w:rFonts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3）货物具备产品合格证。</w:t>
      </w:r>
    </w:p>
    <w:p w14:paraId="1BA5B144">
      <w:pPr>
        <w:snapToGrid w:val="0"/>
        <w:spacing w:line="440" w:lineRule="exact"/>
        <w:ind w:firstLine="480"/>
        <w:rPr>
          <w:rFonts w:ascii="宋体" w:hAnsi="宋体" w:cs="宋体"/>
          <w:b/>
          <w:color w:val="auto"/>
          <w:kern w:val="0"/>
          <w:sz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</w:rPr>
        <w:t>4、培训</w:t>
      </w:r>
    </w:p>
    <w:p w14:paraId="3AB29B5D">
      <w:pPr>
        <w:snapToGrid w:val="0"/>
        <w:spacing w:line="440" w:lineRule="exact"/>
        <w:ind w:firstLine="480"/>
        <w:rPr>
          <w:rFonts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（1）中标单位负责派技术熟练人员为采购单位进行设备使用操作培训，使采购单位可熟练并自行使用相关设备与系统，为满足日常教学需求中标单位需提供不低于10次工程师上门教学服务。</w:t>
      </w:r>
    </w:p>
    <w:p w14:paraId="0779BF7D">
      <w:pPr>
        <w:snapToGrid w:val="0"/>
        <w:spacing w:line="440" w:lineRule="exact"/>
        <w:ind w:firstLine="480"/>
        <w:rPr>
          <w:rFonts w:hint="eastAsia"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（2）投标人在投标文件中应提出详细的培训内容和培训计划。</w:t>
      </w:r>
    </w:p>
    <w:p w14:paraId="6FA45E4F">
      <w:pPr>
        <w:snapToGrid w:val="0"/>
        <w:spacing w:line="440" w:lineRule="exact"/>
        <w:ind w:firstLine="480"/>
        <w:rPr>
          <w:rFonts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（3）培训内容与计划应包括产品的安装、测试、操作、维护、软件系统培训（包括相关理论知识）。</w:t>
      </w:r>
    </w:p>
    <w:p w14:paraId="3EF22AE4">
      <w:pPr>
        <w:snapToGrid w:val="0"/>
        <w:spacing w:line="440" w:lineRule="exact"/>
        <w:ind w:firstLine="480"/>
        <w:rPr>
          <w:rFonts w:ascii="宋体" w:hAnsi="宋体" w:cs="宋体"/>
          <w:b/>
          <w:color w:val="auto"/>
          <w:kern w:val="0"/>
          <w:sz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</w:rPr>
        <w:t>5、售后服务</w:t>
      </w:r>
    </w:p>
    <w:p w14:paraId="06831497">
      <w:pPr>
        <w:snapToGrid w:val="0"/>
        <w:spacing w:line="440" w:lineRule="exact"/>
        <w:ind w:firstLine="480"/>
        <w:rPr>
          <w:rFonts w:ascii="宋体" w:hAnsi="宋体" w:cs="宋体"/>
          <w:b/>
          <w:color w:val="auto"/>
          <w:kern w:val="0"/>
          <w:sz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</w:rPr>
        <w:t>（1）质保期</w:t>
      </w:r>
    </w:p>
    <w:p w14:paraId="36E50107">
      <w:pPr>
        <w:snapToGrid w:val="0"/>
        <w:spacing w:line="440" w:lineRule="exact"/>
        <w:ind w:firstLine="480"/>
        <w:rPr>
          <w:rFonts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以上产品必须全部为原装正版产品，投标人须对提供的所有仪器设备提供不少于1年的质保期及免费技术支持服务。由此产生的一切费用均由中标供应商承担。保修期间用户所购设备各部件发生非人为故障，供应商应免费上门更换同种品牌不低于原规格型号的新部件。对于不能明确是否是硬件出现故障时，中标供应商应尽力配合应用开发商进行检查，在必要时，能在响应时间内到达现场协助排除问题。</w:t>
      </w:r>
    </w:p>
    <w:p w14:paraId="5CDA9357">
      <w:pPr>
        <w:snapToGrid w:val="0"/>
        <w:spacing w:line="440" w:lineRule="exact"/>
        <w:ind w:firstLine="480"/>
        <w:rPr>
          <w:rFonts w:hint="eastAsia" w:ascii="宋体" w:hAnsi="宋体" w:cs="宋体"/>
          <w:b/>
          <w:color w:val="auto"/>
          <w:kern w:val="0"/>
          <w:sz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</w:rPr>
        <w:t>（2）故障响应</w:t>
      </w:r>
    </w:p>
    <w:p w14:paraId="01F26CB8">
      <w:pPr>
        <w:snapToGrid w:val="0"/>
        <w:spacing w:line="440" w:lineRule="exact"/>
        <w:ind w:firstLine="480"/>
        <w:rPr>
          <w:rFonts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对采购单位的服务通知，供应商在接报后2小时内响应，24小时内到达现场，48小时内处理完毕。若在48小时内仍未能有效解决，供应商须免费提供同档次的设备予采购单位临时使用。</w:t>
      </w:r>
    </w:p>
    <w:p w14:paraId="73D4D729">
      <w:pPr>
        <w:snapToGrid w:val="0"/>
        <w:spacing w:line="440" w:lineRule="exact"/>
        <w:ind w:firstLine="480"/>
        <w:rPr>
          <w:rFonts w:hint="eastAsia" w:ascii="宋体" w:hAnsi="宋体" w:cs="宋体"/>
          <w:b/>
          <w:color w:val="auto"/>
          <w:kern w:val="0"/>
          <w:sz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</w:rPr>
        <w:t>6、付款方式</w:t>
      </w:r>
    </w:p>
    <w:p w14:paraId="023B8914">
      <w:pPr>
        <w:snapToGrid w:val="0"/>
        <w:spacing w:line="440" w:lineRule="exact"/>
        <w:ind w:firstLine="480"/>
        <w:rPr>
          <w:rFonts w:hint="eastAsia"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货物供货完毕，且验收合格后，一次性付清。</w:t>
      </w:r>
    </w:p>
    <w:p w14:paraId="4BECE1CA">
      <w:pPr>
        <w:snapToGrid w:val="0"/>
        <w:spacing w:line="440" w:lineRule="exact"/>
        <w:ind w:left="360"/>
        <w:rPr>
          <w:color w:val="auto"/>
        </w:rPr>
      </w:pPr>
      <w:r>
        <w:rPr>
          <w:rFonts w:hint="eastAsia" w:ascii="宋体" w:hAnsi="宋体" w:cs="宋体"/>
          <w:b/>
          <w:color w:val="auto"/>
          <w:kern w:val="0"/>
          <w:sz w:val="24"/>
        </w:rPr>
        <w:t>六</w:t>
      </w:r>
      <w:r>
        <w:rPr>
          <w:rFonts w:ascii="宋体" w:hAnsi="宋体" w:cs="宋体"/>
          <w:b/>
          <w:color w:val="auto"/>
          <w:kern w:val="0"/>
          <w:sz w:val="24"/>
        </w:rPr>
        <w:t>、</w:t>
      </w:r>
      <w:r>
        <w:rPr>
          <w:rFonts w:hint="eastAsia" w:ascii="宋体" w:hAnsi="宋体" w:cs="宋体"/>
          <w:b/>
          <w:color w:val="auto"/>
          <w:kern w:val="0"/>
          <w:sz w:val="24"/>
        </w:rPr>
        <w:t>评标办法</w:t>
      </w:r>
    </w:p>
    <w:p w14:paraId="23FF2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</w:pPr>
      <w:r>
        <w:rPr>
          <w:rFonts w:hint="eastAsia" w:ascii="宋体" w:hAnsi="宋体" w:cs="宋体"/>
          <w:bCs/>
          <w:color w:val="auto"/>
          <w:kern w:val="0"/>
          <w:sz w:val="24"/>
          <w:lang w:val="en-US" w:eastAsia="zh-CN"/>
        </w:rPr>
        <w:t>采购方式采取询价采购。在满足需求书要求的前提下，报价最低的供应商为中标人，如满足需求书要求的前提下报价相同则采用抽签的方式确定中标人。</w:t>
      </w:r>
    </w:p>
    <w:sectPr>
      <w:footerReference r:id="rId3" w:type="default"/>
      <w:footerReference r:id="rId4" w:type="even"/>
      <w:pgSz w:w="11906" w:h="16838"/>
      <w:pgMar w:top="1701" w:right="1588" w:bottom="1588" w:left="1588" w:header="851" w:footer="107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A9D90">
    <w:pPr>
      <w:pStyle w:val="5"/>
      <w:ind w:right="315" w:rightChars="150"/>
      <w:jc w:val="center"/>
      <w:rPr>
        <w:rFonts w:hint="eastAsia" w:ascii="宋体" w:hAnsi="宋体"/>
        <w:sz w:val="24"/>
        <w:szCs w:val="24"/>
      </w:rPr>
    </w:pPr>
    <w:r>
      <w:rPr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DBFF7">
    <w:pPr>
      <w:pStyle w:val="5"/>
      <w:ind w:firstLine="360" w:firstLineChars="150"/>
      <w:jc w:val="center"/>
      <w:rPr>
        <w:rFonts w:hint="eastAsia" w:ascii="宋体" w:hAnsi="宋体"/>
        <w:sz w:val="24"/>
        <w:szCs w:val="24"/>
      </w:rPr>
    </w:pPr>
    <w:r>
      <w:rPr>
        <w:rFonts w:hint="eastAsia" w:ascii="宋体" w:hAnsi="宋体"/>
        <w:kern w:val="0"/>
        <w:sz w:val="24"/>
        <w:szCs w:val="24"/>
      </w:rPr>
      <w:t xml:space="preserve">— </w:t>
    </w:r>
    <w:r>
      <w:rPr>
        <w:rFonts w:hint="eastAsia" w:ascii="宋体" w:hAnsi="宋体"/>
        <w:kern w:val="0"/>
        <w:sz w:val="24"/>
        <w:szCs w:val="24"/>
      </w:rPr>
      <w:fldChar w:fldCharType="begin"/>
    </w:r>
    <w:r>
      <w:rPr>
        <w:rFonts w:hint="eastAsia" w:ascii="宋体" w:hAnsi="宋体"/>
        <w:kern w:val="0"/>
        <w:sz w:val="24"/>
        <w:szCs w:val="24"/>
      </w:rPr>
      <w:instrText xml:space="preserve"> PAGE </w:instrText>
    </w:r>
    <w:r>
      <w:rPr>
        <w:rFonts w:hint="eastAsia" w:ascii="宋体" w:hAnsi="宋体"/>
        <w:kern w:val="0"/>
        <w:sz w:val="24"/>
        <w:szCs w:val="24"/>
      </w:rPr>
      <w:fldChar w:fldCharType="separate"/>
    </w:r>
    <w:r>
      <w:rPr>
        <w:rFonts w:ascii="宋体" w:hAnsi="宋体"/>
        <w:kern w:val="0"/>
        <w:sz w:val="24"/>
        <w:szCs w:val="24"/>
      </w:rPr>
      <w:t>2</w:t>
    </w:r>
    <w:r>
      <w:rPr>
        <w:rFonts w:hint="eastAsia" w:ascii="宋体" w:hAnsi="宋体"/>
        <w:kern w:val="0"/>
        <w:sz w:val="24"/>
        <w:szCs w:val="24"/>
      </w:rPr>
      <w:fldChar w:fldCharType="end"/>
    </w:r>
    <w:r>
      <w:rPr>
        <w:rFonts w:hint="eastAsia" w:ascii="宋体" w:hAnsi="宋体"/>
        <w:kern w:val="0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mZjZlYmJiNTJmMTkxMjhhZTJkNGY0NjY1OTE4NTEifQ=="/>
  </w:docVars>
  <w:rsids>
    <w:rsidRoot w:val="6C9649D2"/>
    <w:rsid w:val="025F0B06"/>
    <w:rsid w:val="0281282A"/>
    <w:rsid w:val="085B6B5D"/>
    <w:rsid w:val="0E956D7D"/>
    <w:rsid w:val="101C1B54"/>
    <w:rsid w:val="16AA61F6"/>
    <w:rsid w:val="1B833BFB"/>
    <w:rsid w:val="21A6795C"/>
    <w:rsid w:val="25DC3CA4"/>
    <w:rsid w:val="2CE22857"/>
    <w:rsid w:val="38723B65"/>
    <w:rsid w:val="3B6B5A08"/>
    <w:rsid w:val="3DD73CCF"/>
    <w:rsid w:val="41BB48E2"/>
    <w:rsid w:val="41F23B34"/>
    <w:rsid w:val="42701998"/>
    <w:rsid w:val="485A47E2"/>
    <w:rsid w:val="48B545A9"/>
    <w:rsid w:val="4CEA0444"/>
    <w:rsid w:val="500B4BE0"/>
    <w:rsid w:val="5B0157AA"/>
    <w:rsid w:val="645667E8"/>
    <w:rsid w:val="66651FC9"/>
    <w:rsid w:val="6AEF52A0"/>
    <w:rsid w:val="6B0D644B"/>
    <w:rsid w:val="6C9649D2"/>
    <w:rsid w:val="73B73DD2"/>
    <w:rsid w:val="7C21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240" w:lineRule="auto"/>
      <w:jc w:val="center"/>
      <w:outlineLvl w:val="0"/>
    </w:pPr>
    <w:rPr>
      <w:rFonts w:asciiTheme="minorAscii" w:hAnsiTheme="minorAscii" w:eastAsiaTheme="minorEastAsia" w:cstheme="minorBidi"/>
      <w:b/>
      <w:kern w:val="44"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2">
    <w:name w:val="font5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18">
    <w:name w:val="Normal_16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3154</Words>
  <Characters>3479</Characters>
  <Lines>0</Lines>
  <Paragraphs>0</Paragraphs>
  <TotalTime>2</TotalTime>
  <ScaleCrop>false</ScaleCrop>
  <LinksUpToDate>false</LinksUpToDate>
  <CharactersWithSpaces>3503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2022-10-08T02:20:00Z</dcterms:created>
  <dc:creator>小武</dc:creator>
  <cp:lastModifiedBy>8447924</cp:lastModifiedBy>
  <dcterms:modified xsi:type="dcterms:W3CDTF">2024-11-25T06:18:11Z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812B4E3FFD164C94B230C4B9A7168778_13</vt:lpwstr>
  </property>
</Properties>
</file>