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3E58A">
      <w:pPr>
        <w:spacing w:before="156" w:beforeLines="50" w:after="156" w:afterLines="50"/>
        <w:jc w:val="center"/>
        <w:rPr>
          <w:rFonts w:hint="eastAsia" w:ascii="黑体" w:eastAsia="黑体"/>
          <w:sz w:val="32"/>
          <w:szCs w:val="32"/>
          <w:u w:val="none"/>
          <w:lang w:val="en-US" w:eastAsia="zh-CN"/>
        </w:rPr>
      </w:pPr>
      <w:r>
        <w:rPr>
          <w:rFonts w:hint="eastAsia" w:ascii="黑体" w:eastAsia="黑体"/>
          <w:sz w:val="32"/>
          <w:szCs w:val="32"/>
          <w:u w:val="none"/>
          <w:lang w:val="en-US" w:eastAsia="zh-CN"/>
        </w:rPr>
        <w:t>池州职业技术学院微景观实训室建设项目（第二次）</w:t>
      </w:r>
    </w:p>
    <w:p w14:paraId="13000EDA">
      <w:pPr>
        <w:spacing w:before="156" w:beforeLines="50" w:after="156" w:afterLines="50"/>
        <w:jc w:val="center"/>
        <w:rPr>
          <w:rFonts w:hint="eastAsia" w:ascii="黑体" w:eastAsia="黑体"/>
          <w:sz w:val="32"/>
          <w:szCs w:val="32"/>
          <w:u w:val="none"/>
        </w:rPr>
      </w:pPr>
      <w:bookmarkStart w:id="1" w:name="_GoBack"/>
      <w:bookmarkEnd w:id="1"/>
      <w:r>
        <w:rPr>
          <w:rFonts w:hint="eastAsia" w:ascii="黑体" w:eastAsia="黑体"/>
          <w:sz w:val="32"/>
          <w:szCs w:val="32"/>
          <w:u w:val="none"/>
          <w:lang w:val="en-US" w:eastAsia="zh-CN"/>
        </w:rPr>
        <w:t>采购</w:t>
      </w:r>
      <w:r>
        <w:rPr>
          <w:rFonts w:hint="eastAsia" w:ascii="黑体" w:eastAsia="黑体"/>
          <w:sz w:val="32"/>
          <w:szCs w:val="32"/>
          <w:u w:val="none"/>
        </w:rPr>
        <w:t>需求书</w:t>
      </w:r>
    </w:p>
    <w:p w14:paraId="5DFD4A2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sz w:val="24"/>
        </w:rPr>
      </w:pPr>
      <w:r>
        <w:rPr>
          <w:rFonts w:hint="eastAsia" w:ascii="宋体" w:hAnsi="宋体" w:cs="宋体"/>
          <w:b/>
          <w:sz w:val="24"/>
        </w:rPr>
        <w:t xml:space="preserve">    一、项目概况</w:t>
      </w:r>
    </w:p>
    <w:p w14:paraId="474F3BD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1、实施背景</w:t>
      </w:r>
    </w:p>
    <w:p w14:paraId="0999ED18">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ascii="宋体" w:hAnsi="宋体"/>
          <w:sz w:val="24"/>
        </w:rPr>
      </w:pPr>
      <w:r>
        <w:rPr>
          <w:rFonts w:hint="eastAsia" w:ascii="宋体" w:hAnsi="宋体" w:eastAsia="宋体" w:cs="Times New Roman"/>
          <w:kern w:val="2"/>
          <w:sz w:val="24"/>
          <w:szCs w:val="24"/>
          <w:lang w:val="en-US" w:eastAsia="zh-CN" w:bidi="ar-SA"/>
        </w:rPr>
        <w:t>根据学院实验实训中心2024年年度实训室建设计划，为满足24五年制园林技术专业面向产业链、“以岗定课、课岗融通”的课程教学改革以及微景观设计与制作技能大赛对训练场地设备的需求，建筑与园林系现计划建设一间教学与微景观制作一体化实训教室，实现现场教学与实践为一体目的。为了达到如期目标，急需配置相关设备。</w:t>
      </w:r>
    </w:p>
    <w:p w14:paraId="33296D26">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2、采购内容和预算</w:t>
      </w:r>
    </w:p>
    <w:p w14:paraId="45EAD11F">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需要采购的设备及实训室建设材料，预算 14.7万元。</w:t>
      </w:r>
    </w:p>
    <w:p w14:paraId="62C9967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eastAsia="宋体" w:cs="宋体"/>
          <w:b/>
          <w:kern w:val="0"/>
          <w:sz w:val="24"/>
          <w:lang w:eastAsia="zh-CN"/>
        </w:rPr>
      </w:pPr>
      <w:r>
        <w:rPr>
          <w:rFonts w:hint="eastAsia" w:ascii="宋体" w:hAnsi="宋体" w:cs="宋体"/>
          <w:b/>
          <w:kern w:val="0"/>
          <w:sz w:val="24"/>
        </w:rPr>
        <w:t>3、项目整体用途、功能目标</w:t>
      </w:r>
    </w:p>
    <w:p w14:paraId="34D93A5D">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bookmarkStart w:id="0" w:name="_Hlk505003689"/>
      <w:r>
        <w:rPr>
          <w:rFonts w:hint="eastAsia" w:ascii="宋体" w:hAnsi="宋体" w:eastAsia="宋体" w:cs="Times New Roman"/>
          <w:kern w:val="2"/>
          <w:sz w:val="24"/>
          <w:szCs w:val="24"/>
          <w:lang w:val="en-US" w:eastAsia="zh-CN" w:bidi="ar-SA"/>
        </w:rPr>
        <w:t>通过此项目的建设，发挥教学改革示范作用，提高学校的教学质量。教室建成后，能保证课程改革的顺利开展，同时也能够为教师提供一个良好的教研与实践环境。能够实现一体化教学，充分发挥微景观景实训室在教学中积极作用，提高学生学习兴趣和对专业知识的认识，满足教学和教科研需要。</w:t>
      </w:r>
    </w:p>
    <w:bookmarkEnd w:id="0"/>
    <w:p w14:paraId="3B997D4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二、供应商资格条件</w:t>
      </w:r>
    </w:p>
    <w:p w14:paraId="56C9C388">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1.投标人应具备《中华人民共和国政府采购法》第二十二条规定的条件。</w:t>
      </w:r>
    </w:p>
    <w:p w14:paraId="0C9C6CFD">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2.投标人应是在中华人民共和国境内合法注册的、具备本项目经营范围的独立法人。</w:t>
      </w:r>
    </w:p>
    <w:p w14:paraId="43D548B0">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3.有固定的经营地点，拥有良好的信誉、经营业绩和售后服务。</w:t>
      </w:r>
    </w:p>
    <w:p w14:paraId="6CD415CF">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4.近三年内无重大质量投诉事故、不良记录、经济纠纷及安全责任事故（提供信用中国查询结果截图）。</w:t>
      </w:r>
    </w:p>
    <w:p w14:paraId="0259EFAD">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5.本项目不接受联合体投标，不允许分包。</w:t>
      </w:r>
    </w:p>
    <w:p w14:paraId="2F98ABB7">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ascii="宋体" w:hAnsi="宋体" w:cs="宋体"/>
          <w:b/>
          <w:kern w:val="0"/>
          <w:sz w:val="24"/>
        </w:rPr>
      </w:pPr>
      <w:r>
        <w:rPr>
          <w:rFonts w:hint="eastAsia" w:ascii="宋体" w:hAnsi="宋体" w:cs="宋体"/>
          <w:b/>
          <w:kern w:val="0"/>
          <w:sz w:val="24"/>
        </w:rPr>
        <w:t xml:space="preserve">三、采购清单 </w:t>
      </w:r>
    </w:p>
    <w:tbl>
      <w:tblPr>
        <w:tblStyle w:val="5"/>
        <w:tblW w:w="4836" w:type="pct"/>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4278"/>
        <w:gridCol w:w="2143"/>
        <w:gridCol w:w="1470"/>
      </w:tblGrid>
      <w:tr w14:paraId="7446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E9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1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0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4D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CD6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E6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E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教室讲桌</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07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6E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3A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DE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9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C8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5F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F36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92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5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42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0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D17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1C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F4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千兆交换机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8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93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95D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2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82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六类网络线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D8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0C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14:paraId="6AD0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B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5B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6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4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94A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BA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3F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B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56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C1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73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8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46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953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0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DD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C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EF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C9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F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BE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38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E8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A32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B8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B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645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7D50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1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2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2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C7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0FF3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BB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A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4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694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06B7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4813">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2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59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5B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r>
      <w:tr w14:paraId="364D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8C25">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1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7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24C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363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F094">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19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窗帘及窗帘盒</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E0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8B7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22A9">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D96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实训容器设备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E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6AF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3A8B900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kern w:val="0"/>
          <w:sz w:val="24"/>
        </w:rPr>
      </w:pPr>
    </w:p>
    <w:p w14:paraId="0CABB5D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b/>
          <w:sz w:val="24"/>
          <w:szCs w:val="21"/>
        </w:rPr>
      </w:pPr>
      <w:r>
        <w:rPr>
          <w:rFonts w:hint="eastAsia" w:ascii="宋体" w:hAnsi="宋体" w:cs="宋体"/>
          <w:b/>
          <w:kern w:val="0"/>
          <w:sz w:val="24"/>
        </w:rPr>
        <w:t>四、</w:t>
      </w:r>
      <w:r>
        <w:rPr>
          <w:rFonts w:hint="eastAsia" w:ascii="宋体" w:hAnsi="宋体" w:cs="宋体"/>
          <w:b/>
          <w:bCs/>
          <w:kern w:val="0"/>
          <w:sz w:val="24"/>
        </w:rPr>
        <w:t>技术参数及功能要求</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55"/>
        <w:gridCol w:w="7278"/>
        <w:gridCol w:w="560"/>
      </w:tblGrid>
      <w:tr w14:paraId="636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7" w:type="dxa"/>
            <w:noWrap w:val="0"/>
            <w:vAlign w:val="center"/>
          </w:tcPr>
          <w:p w14:paraId="54A9B916">
            <w:pPr>
              <w:spacing w:before="156" w:after="156" w:line="240" w:lineRule="exact"/>
              <w:jc w:val="center"/>
              <w:rPr>
                <w:rFonts w:hint="eastAsia" w:ascii="宋体" w:hAnsi="宋体"/>
                <w:b/>
                <w:szCs w:val="21"/>
              </w:rPr>
            </w:pPr>
            <w:r>
              <w:rPr>
                <w:rFonts w:hint="eastAsia" w:ascii="宋体" w:hAnsi="宋体"/>
                <w:b/>
                <w:szCs w:val="21"/>
              </w:rPr>
              <w:t>序号</w:t>
            </w:r>
          </w:p>
        </w:tc>
        <w:tc>
          <w:tcPr>
            <w:tcW w:w="955" w:type="dxa"/>
            <w:noWrap w:val="0"/>
            <w:vAlign w:val="center"/>
          </w:tcPr>
          <w:p w14:paraId="19DCCC74">
            <w:pPr>
              <w:spacing w:before="156" w:after="156" w:line="240" w:lineRule="exact"/>
              <w:jc w:val="center"/>
              <w:rPr>
                <w:rFonts w:hint="eastAsia" w:ascii="宋体" w:hAnsi="宋体"/>
                <w:b/>
                <w:szCs w:val="21"/>
              </w:rPr>
            </w:pPr>
            <w:r>
              <w:rPr>
                <w:rFonts w:hint="eastAsia" w:ascii="宋体" w:hAnsi="宋体"/>
                <w:b/>
                <w:szCs w:val="21"/>
              </w:rPr>
              <w:t>货物名称</w:t>
            </w:r>
          </w:p>
        </w:tc>
        <w:tc>
          <w:tcPr>
            <w:tcW w:w="7278" w:type="dxa"/>
            <w:noWrap w:val="0"/>
            <w:vAlign w:val="center"/>
          </w:tcPr>
          <w:p w14:paraId="28EEF67A">
            <w:pPr>
              <w:spacing w:before="156" w:after="156" w:line="240" w:lineRule="exact"/>
              <w:jc w:val="center"/>
              <w:rPr>
                <w:rFonts w:hint="eastAsia" w:ascii="宋体" w:hAnsi="宋体"/>
                <w:b/>
                <w:szCs w:val="21"/>
              </w:rPr>
            </w:pPr>
            <w:r>
              <w:rPr>
                <w:rFonts w:hint="eastAsia" w:ascii="宋体" w:hAnsi="宋体"/>
                <w:b/>
                <w:szCs w:val="21"/>
              </w:rPr>
              <w:t>技术参数及功能要求</w:t>
            </w:r>
          </w:p>
        </w:tc>
        <w:tc>
          <w:tcPr>
            <w:tcW w:w="560" w:type="dxa"/>
            <w:noWrap w:val="0"/>
            <w:vAlign w:val="center"/>
          </w:tcPr>
          <w:p w14:paraId="2F4AC77A">
            <w:pPr>
              <w:spacing w:before="156" w:after="156" w:line="240" w:lineRule="exact"/>
              <w:jc w:val="center"/>
              <w:rPr>
                <w:rFonts w:hint="eastAsia" w:ascii="宋体" w:hAnsi="宋体"/>
                <w:b/>
                <w:szCs w:val="21"/>
              </w:rPr>
            </w:pPr>
            <w:r>
              <w:rPr>
                <w:rFonts w:hint="eastAsia" w:ascii="宋体" w:hAnsi="宋体"/>
                <w:b/>
                <w:szCs w:val="21"/>
              </w:rPr>
              <w:t>备注</w:t>
            </w:r>
          </w:p>
        </w:tc>
      </w:tr>
      <w:tr w14:paraId="1102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53DF7858">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5" w:type="dxa"/>
            <w:noWrap w:val="0"/>
            <w:vAlign w:val="center"/>
          </w:tcPr>
          <w:p w14:paraId="35E9A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教师讲台</w:t>
            </w:r>
          </w:p>
        </w:tc>
        <w:tc>
          <w:tcPr>
            <w:tcW w:w="7278" w:type="dxa"/>
            <w:noWrap w:val="0"/>
            <w:vAlign w:val="center"/>
          </w:tcPr>
          <w:p w14:paraId="6917B6F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1.盖门采取翻转方式。</w:t>
            </w:r>
          </w:p>
          <w:p w14:paraId="6C2EC67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.钢木结合材料一体成型；桌体采用1.2-1.5MM优质冷轧钢板，实木扶手桌面木质耐划台面；全封闭式结构。</w:t>
            </w:r>
          </w:p>
          <w:p w14:paraId="6205AA5A">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.液晶显示器采用翻转设计，显示器角度任意调节，可使视线和显示器接近垂直，可安装17-24寸显示器，关闭后所有设备都隐藏在讲台内。</w:t>
            </w:r>
          </w:p>
          <w:p w14:paraId="2E33EFD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4.键盘采用翻转式操作，显示器、中央控制系统、键盘互不影响独立操作。</w:t>
            </w:r>
          </w:p>
          <w:p w14:paraId="232C6D3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讲台右侧面设有移门导轨抽拉式抽屉，用于放置实物展示台，抽屉空间支持市面上任一品牌任一型号的展台的放入。</w:t>
            </w:r>
          </w:p>
          <w:p w14:paraId="5FE9CEA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.讲桌桌体采用开合式小柜门设计，不必打开大柜门，即可经由计算机光驱播放光碟等。</w:t>
            </w:r>
          </w:p>
          <w:p w14:paraId="565FC366">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桌体下层内部采用标准机柜设计，带层板，可任意调节</w:t>
            </w:r>
            <w:r>
              <w:rPr>
                <w:rFonts w:hint="eastAsia" w:ascii="宋体" w:hAnsi="宋体" w:cs="宋体"/>
                <w:i w:val="0"/>
                <w:iCs w:val="0"/>
                <w:color w:val="000000"/>
                <w:kern w:val="0"/>
                <w:sz w:val="21"/>
                <w:szCs w:val="21"/>
                <w:u w:val="none"/>
                <w:lang w:val="en-US" w:eastAsia="zh-CN" w:bidi="ar"/>
              </w:rPr>
              <w:t>；</w:t>
            </w:r>
            <w:r>
              <w:rPr>
                <w:rFonts w:hint="default"/>
                <w:lang w:val="en-US" w:eastAsia="zh-CN"/>
              </w:rPr>
              <w:t>带有安全锁，锁具采用优质锁。</w:t>
            </w:r>
          </w:p>
          <w:p w14:paraId="2698E7B0">
            <w:pPr>
              <w:spacing w:line="360" w:lineRule="auto"/>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 参考图示</w:t>
            </w:r>
          </w:p>
          <w:p w14:paraId="1AAB1F0B">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50800</wp:posOffset>
                  </wp:positionV>
                  <wp:extent cx="1632585" cy="1616710"/>
                  <wp:effectExtent l="0" t="0" r="5715" b="2540"/>
                  <wp:wrapSquare wrapText="bothSides"/>
                  <wp:docPr id="4" name="图片 2" descr="171837206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18372069254"/>
                          <pic:cNvPicPr>
                            <a:picLocks noChangeAspect="1"/>
                          </pic:cNvPicPr>
                        </pic:nvPicPr>
                        <pic:blipFill>
                          <a:blip r:embed="rId6"/>
                          <a:stretch>
                            <a:fillRect/>
                          </a:stretch>
                        </pic:blipFill>
                        <pic:spPr>
                          <a:xfrm>
                            <a:off x="0" y="0"/>
                            <a:ext cx="1632585" cy="161671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inline distT="0" distB="0" distL="114300" distR="114300">
                  <wp:extent cx="2347595" cy="1648460"/>
                  <wp:effectExtent l="0" t="0" r="14605" b="12700"/>
                  <wp:docPr id="2" name="图片 1" descr="171837188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18371883136"/>
                          <pic:cNvPicPr>
                            <a:picLocks noChangeAspect="1"/>
                          </pic:cNvPicPr>
                        </pic:nvPicPr>
                        <pic:blipFill>
                          <a:blip r:embed="rId7"/>
                          <a:stretch>
                            <a:fillRect/>
                          </a:stretch>
                        </pic:blipFill>
                        <pic:spPr>
                          <a:xfrm>
                            <a:off x="0" y="0"/>
                            <a:ext cx="2347595" cy="1648460"/>
                          </a:xfrm>
                          <a:prstGeom prst="rect">
                            <a:avLst/>
                          </a:prstGeom>
                          <a:noFill/>
                          <a:ln>
                            <a:noFill/>
                          </a:ln>
                        </pic:spPr>
                      </pic:pic>
                    </a:graphicData>
                  </a:graphic>
                </wp:inline>
              </w:drawing>
            </w:r>
          </w:p>
        </w:tc>
        <w:tc>
          <w:tcPr>
            <w:tcW w:w="560" w:type="dxa"/>
            <w:noWrap w:val="0"/>
            <w:vAlign w:val="top"/>
          </w:tcPr>
          <w:p w14:paraId="4F9DC7B0">
            <w:pPr>
              <w:pStyle w:val="16"/>
              <w:rPr>
                <w:rFonts w:hint="eastAsia" w:ascii="宋体" w:hAnsi="宋体" w:eastAsia="宋体" w:cs="宋体"/>
                <w:i w:val="0"/>
                <w:iCs w:val="0"/>
                <w:color w:val="000000"/>
                <w:kern w:val="0"/>
                <w:sz w:val="21"/>
                <w:szCs w:val="21"/>
                <w:u w:val="none"/>
                <w:lang w:val="en-US" w:eastAsia="zh-CN" w:bidi="ar"/>
              </w:rPr>
            </w:pPr>
          </w:p>
        </w:tc>
      </w:tr>
      <w:tr w14:paraId="7EFC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02D4E7F1">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5" w:type="dxa"/>
            <w:noWrap w:val="0"/>
            <w:vAlign w:val="center"/>
          </w:tcPr>
          <w:p w14:paraId="08B71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7278" w:type="dxa"/>
            <w:noWrap w:val="0"/>
            <w:vAlign w:val="center"/>
          </w:tcPr>
          <w:p w14:paraId="1B6D916D">
            <w:pPr>
              <w:numPr>
                <w:ilvl w:val="0"/>
                <w:numId w:val="1"/>
              </w:num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靠背：原生PP材质+透气网布；</w:t>
            </w:r>
          </w:p>
          <w:p w14:paraId="0F1A7C2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坐垫：透气网布、海绵+木板；</w:t>
            </w:r>
          </w:p>
          <w:p w14:paraId="0D0946E7">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扶手：PP材质</w:t>
            </w:r>
          </w:p>
          <w:p w14:paraId="5B42E4B2">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底盘：2.5MM加厚钢板底盘</w:t>
            </w:r>
          </w:p>
          <w:p w14:paraId="32D1885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气压杆：可升降高纯度氮气加厚防爆气压杆</w:t>
            </w:r>
          </w:p>
          <w:p w14:paraId="52C7EA08">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椅脚：五星尼龙脚轮</w:t>
            </w:r>
          </w:p>
          <w:p w14:paraId="66D7A316">
            <w:pPr>
              <w:spacing w:line="360" w:lineRule="auto"/>
              <w:jc w:val="left"/>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21"/>
                <w:szCs w:val="21"/>
                <w:u w:val="none"/>
                <w:lang w:val="en-US" w:eastAsia="zh-CN" w:bidi="ar"/>
              </w:rPr>
              <w:t>7. 参</w:t>
            </w:r>
            <w:r>
              <w:rPr>
                <w:rFonts w:hint="eastAsia" w:ascii="Times New Roman" w:hAnsi="Times New Roman" w:eastAsia="宋体" w:cs="Times New Roman"/>
                <w:lang w:val="en-US" w:eastAsia="zh-CN"/>
              </w:rPr>
              <w:t>考图示</w:t>
            </w:r>
          </w:p>
          <w:p w14:paraId="5A3E8F47">
            <w:pPr>
              <w:spacing w:line="360" w:lineRule="auto"/>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26670</wp:posOffset>
                  </wp:positionV>
                  <wp:extent cx="1100455" cy="1676400"/>
                  <wp:effectExtent l="0" t="0" r="12065" b="0"/>
                  <wp:wrapSquare wrapText="bothSides"/>
                  <wp:docPr id="6" name="图片 6" descr="171837290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8372900204"/>
                          <pic:cNvPicPr>
                            <a:picLocks noChangeAspect="1"/>
                          </pic:cNvPicPr>
                        </pic:nvPicPr>
                        <pic:blipFill>
                          <a:blip r:embed="rId8"/>
                          <a:stretch>
                            <a:fillRect/>
                          </a:stretch>
                        </pic:blipFill>
                        <pic:spPr>
                          <a:xfrm>
                            <a:off x="0" y="0"/>
                            <a:ext cx="1100455" cy="1676400"/>
                          </a:xfrm>
                          <a:prstGeom prst="rect">
                            <a:avLst/>
                          </a:prstGeom>
                          <a:noFill/>
                          <a:ln>
                            <a:noFill/>
                          </a:ln>
                        </pic:spPr>
                      </pic:pic>
                    </a:graphicData>
                  </a:graphic>
                </wp:anchor>
              </w:drawing>
            </w:r>
          </w:p>
        </w:tc>
        <w:tc>
          <w:tcPr>
            <w:tcW w:w="560" w:type="dxa"/>
            <w:noWrap w:val="0"/>
            <w:vAlign w:val="top"/>
          </w:tcPr>
          <w:p w14:paraId="309BEE7D">
            <w:pPr>
              <w:pStyle w:val="16"/>
              <w:rPr>
                <w:rFonts w:hint="eastAsia" w:ascii="宋体" w:hAnsi="宋体" w:eastAsia="宋体" w:cs="宋体"/>
                <w:i w:val="0"/>
                <w:iCs w:val="0"/>
                <w:color w:val="000000"/>
                <w:kern w:val="0"/>
                <w:sz w:val="21"/>
                <w:szCs w:val="21"/>
                <w:u w:val="none"/>
                <w:lang w:val="en-US" w:eastAsia="zh-CN" w:bidi="ar"/>
              </w:rPr>
            </w:pPr>
          </w:p>
        </w:tc>
      </w:tr>
      <w:tr w14:paraId="66F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784252BF">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5" w:type="dxa"/>
            <w:noWrap w:val="0"/>
            <w:vAlign w:val="center"/>
          </w:tcPr>
          <w:p w14:paraId="0C9A1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7278" w:type="dxa"/>
            <w:noWrap w:val="0"/>
            <w:vAlign w:val="center"/>
          </w:tcPr>
          <w:p w14:paraId="6A58DB2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1.支持固化千兆电口≥5个，内置存储不小于4GB；</w:t>
            </w:r>
          </w:p>
          <w:p w14:paraId="48B13C7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2.支持静态路由、RIP(V1/V2)、OSPF等多种路由协议；</w:t>
            </w:r>
          </w:p>
          <w:p w14:paraId="0CE893C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3.要求所投产品支持应用路由功能，支持基于通讯、视频等应用进行路由选择，应用路由流量分支明细及命中情况可通过图表呈现；</w:t>
            </w:r>
          </w:p>
          <w:p w14:paraId="0DBE9FC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4.要求所投产品支持线路流量逃生，定时探测线路是否正常。在线路异常时，及时将该线路DOWN掉，使得应用能够从正常线路出去；</w:t>
            </w:r>
          </w:p>
          <w:p w14:paraId="728E11A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5.支持流量识别保障功能：能够精确识别网络应用，保障关键业务的系统带宽，具备完善的应用协议库；</w:t>
            </w:r>
          </w:p>
          <w:p w14:paraId="3F16A9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6.★支持IPsecVPN和SSLVPN协议，支持VPN限速以及VPN拓扑自动生成功能；</w:t>
            </w:r>
          </w:p>
          <w:p w14:paraId="0D734F6F">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7.★具备针对用户对象、时间对象、指定流控策略、支持VPN内的流量控制；</w:t>
            </w:r>
          </w:p>
          <w:p w14:paraId="13A5CB4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8.可设置无线用户黑白名单，支持二层用户隔离，WIFI隐藏，关闭网络时间，优先接入5G网络功能，支持AP状态信息查看，支持AP批量升级，支持反制非法AP。</w:t>
            </w:r>
          </w:p>
        </w:tc>
        <w:tc>
          <w:tcPr>
            <w:tcW w:w="560" w:type="dxa"/>
            <w:noWrap w:val="0"/>
            <w:vAlign w:val="top"/>
          </w:tcPr>
          <w:p w14:paraId="2B4205BC">
            <w:pPr>
              <w:pStyle w:val="16"/>
              <w:rPr>
                <w:rFonts w:hint="eastAsia" w:ascii="宋体" w:hAnsi="宋体" w:eastAsia="宋体" w:cs="宋体"/>
                <w:i w:val="0"/>
                <w:iCs w:val="0"/>
                <w:color w:val="000000"/>
                <w:kern w:val="0"/>
                <w:sz w:val="21"/>
                <w:szCs w:val="21"/>
                <w:u w:val="none"/>
                <w:lang w:val="en-US" w:eastAsia="zh-CN" w:bidi="ar"/>
              </w:rPr>
            </w:pPr>
          </w:p>
        </w:tc>
      </w:tr>
      <w:tr w14:paraId="72F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6A4C95FE">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w:t>
            </w:r>
          </w:p>
        </w:tc>
        <w:tc>
          <w:tcPr>
            <w:tcW w:w="955" w:type="dxa"/>
            <w:noWrap w:val="0"/>
            <w:vAlign w:val="center"/>
          </w:tcPr>
          <w:p w14:paraId="2C175763">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w:t>
            </w:r>
          </w:p>
        </w:tc>
        <w:tc>
          <w:tcPr>
            <w:tcW w:w="7278" w:type="dxa"/>
            <w:noWrap w:val="0"/>
            <w:vAlign w:val="center"/>
          </w:tcPr>
          <w:p w14:paraId="5FB4F33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千兆以太网交换机，背板带宽：32Gbps，包转发率：24Mpps，端口描述：16个千兆电口，支持端口状态显示、端口流量统计、端口双工/协商速率配置、流控配置，安全特性：支持广播风暴抑制、端口限速、端口隔离，</w:t>
            </w:r>
          </w:p>
          <w:p w14:paraId="563AAED7">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管理特性：支持通过WEB管理界面、MACC云平台、手机APP进行管理配置。</w:t>
            </w:r>
          </w:p>
        </w:tc>
        <w:tc>
          <w:tcPr>
            <w:tcW w:w="560" w:type="dxa"/>
            <w:noWrap w:val="0"/>
            <w:vAlign w:val="top"/>
          </w:tcPr>
          <w:p w14:paraId="6183E4E7">
            <w:pPr>
              <w:pStyle w:val="16"/>
              <w:rPr>
                <w:rFonts w:hint="eastAsia" w:ascii="宋体" w:hAnsi="宋体" w:eastAsia="宋体" w:cs="宋体"/>
                <w:i w:val="0"/>
                <w:iCs w:val="0"/>
                <w:color w:val="000000"/>
                <w:kern w:val="0"/>
                <w:sz w:val="21"/>
                <w:szCs w:val="21"/>
                <w:u w:val="none"/>
                <w:lang w:val="en-US" w:eastAsia="zh-CN" w:bidi="ar"/>
              </w:rPr>
            </w:pPr>
          </w:p>
        </w:tc>
      </w:tr>
      <w:tr w14:paraId="3E35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7875DF81">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w:t>
            </w:r>
          </w:p>
        </w:tc>
        <w:tc>
          <w:tcPr>
            <w:tcW w:w="955" w:type="dxa"/>
            <w:noWrap w:val="0"/>
            <w:vAlign w:val="center"/>
          </w:tcPr>
          <w:p w14:paraId="6BAC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六类网线</w:t>
            </w:r>
          </w:p>
        </w:tc>
        <w:tc>
          <w:tcPr>
            <w:tcW w:w="7278" w:type="dxa"/>
            <w:noWrap w:val="0"/>
            <w:vAlign w:val="center"/>
          </w:tcPr>
          <w:p w14:paraId="3968236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1.通过标准 250MHz 带宽测试要求 可扩展到 550MHz 带宽； </w:t>
            </w:r>
          </w:p>
          <w:p w14:paraId="5E242A0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2.单根导体直流电阻：≤9.5Ω/100m，额定传输速率(NVP)：69%； </w:t>
            </w:r>
          </w:p>
          <w:p w14:paraId="0565A7A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3.电缆对数：4 对，十字骨架材料：PE 混合物； </w:t>
            </w:r>
          </w:p>
          <w:p w14:paraId="6327105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4.导体材料：无氧圆铜（纯度 99.99%）； </w:t>
            </w:r>
          </w:p>
          <w:p w14:paraId="44A869F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5.最小弯曲半径：10 倍电缆外径； </w:t>
            </w:r>
          </w:p>
          <w:p w14:paraId="4B795E8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6.线径：0.53 </w:t>
            </w:r>
          </w:p>
        </w:tc>
        <w:tc>
          <w:tcPr>
            <w:tcW w:w="560" w:type="dxa"/>
            <w:noWrap w:val="0"/>
            <w:vAlign w:val="top"/>
          </w:tcPr>
          <w:p w14:paraId="546EB0A0">
            <w:pPr>
              <w:pStyle w:val="16"/>
              <w:rPr>
                <w:rFonts w:hint="eastAsia" w:ascii="宋体" w:hAnsi="宋体" w:eastAsia="宋体" w:cs="宋体"/>
                <w:i w:val="0"/>
                <w:iCs w:val="0"/>
                <w:color w:val="000000"/>
                <w:kern w:val="0"/>
                <w:sz w:val="21"/>
                <w:szCs w:val="21"/>
                <w:u w:val="none"/>
                <w:lang w:val="en-US" w:eastAsia="zh-CN" w:bidi="ar"/>
              </w:rPr>
            </w:pPr>
          </w:p>
        </w:tc>
      </w:tr>
      <w:tr w14:paraId="3E37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2AD27669">
            <w:pPr>
              <w:pStyle w:val="16"/>
              <w:ind w:right="321"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5" w:type="dxa"/>
            <w:noWrap w:val="0"/>
            <w:vAlign w:val="center"/>
          </w:tcPr>
          <w:p w14:paraId="7D49D0E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7278" w:type="dxa"/>
            <w:noWrap w:val="0"/>
            <w:vAlign w:val="center"/>
          </w:tcPr>
          <w:p w14:paraId="6D5DC7F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前门钢化玻璃或网孔；含PDU插座</w:t>
            </w:r>
          </w:p>
          <w:p w14:paraId="1B3B1B7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整体承重达到800 公斤；</w:t>
            </w:r>
          </w:p>
          <w:p w14:paraId="08982E45">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规格：600*600*1200MM。</w:t>
            </w:r>
          </w:p>
        </w:tc>
        <w:tc>
          <w:tcPr>
            <w:tcW w:w="560" w:type="dxa"/>
            <w:noWrap w:val="0"/>
            <w:vAlign w:val="top"/>
          </w:tcPr>
          <w:p w14:paraId="016748D5">
            <w:pPr>
              <w:pStyle w:val="16"/>
              <w:rPr>
                <w:rFonts w:hint="eastAsia" w:ascii="宋体" w:hAnsi="宋体" w:eastAsia="宋体" w:cs="宋体"/>
                <w:i w:val="0"/>
                <w:iCs w:val="0"/>
                <w:color w:val="000000"/>
                <w:kern w:val="0"/>
                <w:sz w:val="21"/>
                <w:szCs w:val="21"/>
                <w:u w:val="none"/>
                <w:lang w:val="en-US" w:eastAsia="zh-CN" w:bidi="ar"/>
              </w:rPr>
            </w:pPr>
          </w:p>
        </w:tc>
      </w:tr>
      <w:tr w14:paraId="47D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67DC45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55" w:type="dxa"/>
            <w:vAlign w:val="center"/>
          </w:tcPr>
          <w:p w14:paraId="4B239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7278" w:type="dxa"/>
            <w:vAlign w:val="center"/>
          </w:tcPr>
          <w:p w14:paraId="72D5CCB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一、整机设计</w:t>
            </w:r>
          </w:p>
          <w:p w14:paraId="41631DC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采用全金属外壳，三拼接平面一体化设计，屏幕边缘采用圆角包边防护，整机背板采用金属材质。整机设备副屏支持磁吸附功能，可以满足带有磁吸的板擦等教具进行吸附在副屏上。采用86液晶显示器。整机采用UHD超高清LED液晶屏，显示比例16:9，分辨率3840×2160。</w:t>
            </w:r>
          </w:p>
          <w:p w14:paraId="14F5344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整机支持蓝牙Bluetooth 5.4标准。</w:t>
            </w:r>
          </w:p>
          <w:p w14:paraId="3E614D9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设备支持5个自定义前置按键，“设置”、“音量-”，“音量+”，“录屏”，“护眼”按键，可通过自定义设置实现前置面板功能按键一键启用任一全局小工具、快捷开关。嵌入式系统版本不低于Android 13，内存≥2GB，存储空间≥8GB。采用红外触控方式，支持Windows系统中进行40点或以上触控，支持在Android系统中进行40点或以上触控。</w:t>
            </w:r>
          </w:p>
          <w:p w14:paraId="3A63A4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整机内置2.2声道扬声器，位于设备上边框，顶置朝前发声，前朝向10W高音扬声器2个，上朝向20W中低音扬声器2个，额定总功率60W。整机内置扬声器采用缝隙发声技术，喇叭采用槽式开口设计，不大于5.8mm。</w:t>
            </w:r>
          </w:p>
          <w:p w14:paraId="4F0C1E9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支持标准、听力、观影和AI空间感知音效模式，AI空间感知音效模式可通过内置麦克风采集教室物理环境声音，自动生成符合当前教室物理环境的频段、音量、音效。</w:t>
            </w:r>
          </w:p>
          <w:p w14:paraId="2F6AC6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整机背光系统支持DC调光方式，多级亮度调节，支持白颜色背景下最暗亮度≤100nit，用于提升显示对比度。</w:t>
            </w:r>
          </w:p>
          <w:p w14:paraId="431B215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系统支持手势上滑调出人工智能画质调节模式（AI-PQ），在安卓通道下可根据屏幕内容自动调节画质参数，当屏幕出现人物、建筑、夜景等元素时，自动调整对比度、饱和度、锐利度、色调色相值、高光/阴影。</w:t>
            </w:r>
          </w:p>
          <w:p w14:paraId="43962DC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发出频率为18kHz-22kHz超声波信号，智能手机通过麦克风接收后，智能手机与整机无需在同一局域网内，可实现配对，一键投屏，用户无需手动输入投屏码或扫码获取投屏码。整机Windows通道支持文件传输应用，支持通过扫码、wifi直联、超声三种方式与手机进行握手连接，实现文件传输功能。</w:t>
            </w:r>
          </w:p>
          <w:p w14:paraId="0F81AC8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整机内置双WiFi6无线网卡（不接受外接），在Android下支持无线设备同时连接数量≥32个，在Windows系统下支持无线设备同时连接≥8个。</w:t>
            </w:r>
          </w:p>
          <w:p w14:paraId="4A4EC705">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上边框内置非独立式摄像头，采用一体化集成设计；摄像头数量≥3个；具备摄像头工作指示灯，摄像头运行时，有指示灯提示。内置非独立式3个智能拼接摄像头，清晰度≥1600，视场角≥141度且水平视场角≥139度，拍摄像素≥1600万，支持输出8192×2048分辨率的照片和视频，支持画面畸变矫正功能 。内置非独立摄像头模组，同时输出至少 3 路视频流，同时支持课堂远程巡课、课堂教学数据采集、本地画面预览（拍照或视频录制）</w:t>
            </w:r>
          </w:p>
          <w:p w14:paraId="4BFDC4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整机支持提笔书写，在Windows系统下可实现无需点击任意功能入口，当检测到红外笔笔尖接触屏幕时，自动进入书写模式。</w:t>
            </w:r>
          </w:p>
          <w:p w14:paraId="707CE29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二、电脑模块</w:t>
            </w:r>
          </w:p>
          <w:p w14:paraId="2457FCE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主板搭载Intel酷睿系列 i5或以上CPU、内存：16GB DDR4笔记本内存或以上配置、硬盘：512 GB或以上SSD固态硬盘。</w:t>
            </w:r>
          </w:p>
          <w:p w14:paraId="08DE8BA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机身采用热浸镀锌金属材质，采用智能风扇低噪音散热设计，以预留足够散热空间，确保封闭空间内有效散热。具有标准PC防盗锁孔。</w:t>
            </w:r>
          </w:p>
          <w:p w14:paraId="7D5B7D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560" w:type="dxa"/>
            <w:vAlign w:val="top"/>
          </w:tcPr>
          <w:p w14:paraId="171EE1DC">
            <w:pPr>
              <w:pStyle w:val="16"/>
              <w:rPr>
                <w:rFonts w:hint="eastAsia" w:ascii="宋体" w:hAnsi="宋体" w:eastAsia="宋体" w:cs="宋体"/>
                <w:i w:val="0"/>
                <w:iCs w:val="0"/>
                <w:color w:val="000000"/>
                <w:kern w:val="0"/>
                <w:sz w:val="21"/>
                <w:szCs w:val="21"/>
                <w:u w:val="none"/>
                <w:lang w:val="en-US" w:eastAsia="zh-CN" w:bidi="ar"/>
              </w:rPr>
            </w:pPr>
          </w:p>
        </w:tc>
      </w:tr>
      <w:tr w14:paraId="30F8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04DEB72">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5" w:type="dxa"/>
            <w:vAlign w:val="center"/>
          </w:tcPr>
          <w:p w14:paraId="6CD08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7278" w:type="dxa"/>
            <w:vAlign w:val="center"/>
          </w:tcPr>
          <w:p w14:paraId="0CABF9C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主机采用纯嵌入一体式设计,高度1U，内置静音恒温散热风扇。</w:t>
            </w:r>
          </w:p>
          <w:p w14:paraId="60BC47E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设备采用宽电压开关电源供电，AC120V-240V宽电压范围工作，内部电路板采用防潮工艺。</w:t>
            </w:r>
          </w:p>
          <w:p w14:paraId="68CC789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前面板带TFT彩色触摸屏，支持校徽定制，支持设置屏幕6位操作密码解锁。</w:t>
            </w:r>
          </w:p>
          <w:p w14:paraId="550C720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采用高清HD级数字功放芯片组，解析力更高，发热量低。具有延时保护、短路过流保护、过热保护。</w:t>
            </w:r>
          </w:p>
          <w:p w14:paraId="204886D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采用高速数字信号处理器，主频≥800MHz，最大主频1000MHz。</w:t>
            </w:r>
          </w:p>
          <w:p w14:paraId="707FAFD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主机前面板带USB接口，支持U盘录音，支持最大32GB,FAT32格式，最多可录音时常≥1000小时。</w:t>
            </w:r>
          </w:p>
          <w:p w14:paraId="41016EB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设备具有6路音频输入、8路音频输出（其中2路音频输出到功放）4路GPIO逻辑自定义接口。。</w:t>
            </w:r>
          </w:p>
          <w:p w14:paraId="5D5C704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主机软件支持6路输入和8路输出实时动态电平表显示功能，支持分量式音频矩阵。</w:t>
            </w:r>
          </w:p>
          <w:p w14:paraId="6AD7E53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具有6路输入8路输出音频矩阵管理功能，每路输入通道带支持扩展器、自带增益、参数模块。每路输出通道带高低通、参数均衡、限幅器模块。软件支持反馈抑制、回声抑制、混音矩阵、闪避器、电平表功能模块。</w:t>
            </w:r>
          </w:p>
          <w:p w14:paraId="642B8EB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主机软件支持麦克风60段频谱实时显示分析功能，可指导房间频率均衡调试。</w:t>
            </w:r>
          </w:p>
          <w:p w14:paraId="75AC006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主机支持软件可消除输入通道白噪声，白噪声最大下降≥9db。</w:t>
            </w:r>
          </w:p>
          <w:p w14:paraId="3CB96DC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音频主机连接电脑音频输入输出，电脑连接外网，可通过腾讯会议、钉钉等实现远程音频互动和本地扩声，支持去混响、环境降噪、反馈抑制、网络回声抑制算法，支持本地扩声与远程互动同时进行。</w:t>
            </w:r>
          </w:p>
        </w:tc>
        <w:tc>
          <w:tcPr>
            <w:tcW w:w="560" w:type="dxa"/>
            <w:vAlign w:val="top"/>
          </w:tcPr>
          <w:p w14:paraId="02E69377">
            <w:pPr>
              <w:pStyle w:val="16"/>
              <w:rPr>
                <w:rFonts w:hint="eastAsia" w:ascii="宋体" w:hAnsi="宋体" w:eastAsia="宋体" w:cs="宋体"/>
                <w:i w:val="0"/>
                <w:iCs w:val="0"/>
                <w:color w:val="000000"/>
                <w:kern w:val="0"/>
                <w:sz w:val="21"/>
                <w:szCs w:val="21"/>
                <w:u w:val="none"/>
                <w:lang w:val="en-US" w:eastAsia="zh-CN" w:bidi="ar"/>
              </w:rPr>
            </w:pPr>
          </w:p>
        </w:tc>
      </w:tr>
      <w:tr w14:paraId="5B6B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733D960">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5" w:type="dxa"/>
            <w:vAlign w:val="center"/>
          </w:tcPr>
          <w:p w14:paraId="2DFB6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7278" w:type="dxa"/>
            <w:vAlign w:val="center"/>
          </w:tcPr>
          <w:p w14:paraId="042787F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输出阻抗:250Ω±30% (at 1KHz)。</w:t>
            </w:r>
          </w:p>
          <w:p w14:paraId="27D890D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灵敏度：-35dB(7.9mv 0dB=1V/Pa at 1KHz)。</w:t>
            </w:r>
          </w:p>
          <w:p w14:paraId="02EB4E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抗手机、电磁、高频干扰。</w:t>
            </w:r>
          </w:p>
          <w:p w14:paraId="56E8013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灵敏度较高，拾音方向性强，搭配音频处理器使用，可有效解决杂散声波源回授产生的自激啸叫问题和减轻处理器反馈声波处理的难度。</w:t>
            </w:r>
          </w:p>
          <w:p w14:paraId="1EEA7FD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防风海绵罩采用电台播音级别环保植绒轻量工艺，具有超高防风性能和声学性能，保证声音穿透性及清晰度。</w:t>
            </w:r>
          </w:p>
          <w:p w14:paraId="6F4D49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频率响应（Frequency Response）：20-20KHZ。</w:t>
            </w:r>
          </w:p>
          <w:p w14:paraId="21514B5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最大声压级：135dB SPL。</w:t>
            </w:r>
          </w:p>
          <w:p w14:paraId="60C3FFA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信噪比(SNR)：≥80dB。</w:t>
            </w:r>
          </w:p>
          <w:p w14:paraId="0C893EA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幻像电源：12-52V。</w:t>
            </w:r>
          </w:p>
          <w:p w14:paraId="5F221D7D">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内置嵌入式数字麦克风软件。</w:t>
            </w:r>
          </w:p>
          <w:p w14:paraId="1A85326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产品通过冲击锤试验、跌落试验、应力消除试验检测。</w:t>
            </w:r>
          </w:p>
        </w:tc>
        <w:tc>
          <w:tcPr>
            <w:tcW w:w="560" w:type="dxa"/>
            <w:vAlign w:val="top"/>
          </w:tcPr>
          <w:p w14:paraId="6C2F47B6">
            <w:pPr>
              <w:pStyle w:val="16"/>
              <w:rPr>
                <w:rFonts w:hint="eastAsia" w:ascii="宋体" w:hAnsi="宋体" w:eastAsia="宋体" w:cs="宋体"/>
                <w:i w:val="0"/>
                <w:iCs w:val="0"/>
                <w:color w:val="000000"/>
                <w:kern w:val="0"/>
                <w:sz w:val="21"/>
                <w:szCs w:val="21"/>
                <w:u w:val="none"/>
                <w:lang w:val="en-US" w:eastAsia="zh-CN" w:bidi="ar"/>
              </w:rPr>
            </w:pPr>
          </w:p>
        </w:tc>
      </w:tr>
      <w:tr w14:paraId="658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568992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5" w:type="dxa"/>
            <w:vAlign w:val="center"/>
          </w:tcPr>
          <w:p w14:paraId="64766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7278" w:type="dxa"/>
            <w:vAlign w:val="center"/>
          </w:tcPr>
          <w:p w14:paraId="611BD9C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采用环保水性漆表面处理，耐磨耐新,结构稳固。</w:t>
            </w:r>
          </w:p>
          <w:p w14:paraId="395790E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两分频设计，中低音采用6.5吋低音*1，高音采用3吋高音*1，声音明亮清晰，富有层次感。</w:t>
            </w:r>
          </w:p>
          <w:p w14:paraId="11943FA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灵活的吊挂系统，方便选用不同吊挂支架，可多面悬挂。</w:t>
            </w:r>
          </w:p>
          <w:p w14:paraId="576FE68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频率响应范围：50Hz-18kHz。</w:t>
            </w:r>
          </w:p>
          <w:p w14:paraId="55CF5B3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单元配置：6.5吋低音*1，3吋高音*1。</w:t>
            </w:r>
          </w:p>
          <w:p w14:paraId="10594D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带万向挂架和螺丝，方便壁挂和安装。</w:t>
            </w:r>
          </w:p>
          <w:p w14:paraId="5699914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标称阻抗：6Ω。</w:t>
            </w:r>
          </w:p>
          <w:p w14:paraId="06EAE25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额定功率：60W。</w:t>
            </w:r>
          </w:p>
          <w:p w14:paraId="5BD261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灵敏度：98dB。</w:t>
            </w:r>
          </w:p>
          <w:p w14:paraId="33E61C3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最大声压级：101dB。</w:t>
            </w:r>
          </w:p>
          <w:p w14:paraId="07E7AFB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为了保证设备使用的兼容性，需要保证该产品与“智能音频主机”为同一品牌。</w:t>
            </w:r>
          </w:p>
        </w:tc>
        <w:tc>
          <w:tcPr>
            <w:tcW w:w="560" w:type="dxa"/>
            <w:vAlign w:val="top"/>
          </w:tcPr>
          <w:p w14:paraId="2FFDC848">
            <w:pPr>
              <w:pStyle w:val="16"/>
              <w:rPr>
                <w:rFonts w:hint="eastAsia" w:ascii="宋体" w:hAnsi="宋体" w:eastAsia="宋体" w:cs="宋体"/>
                <w:i w:val="0"/>
                <w:iCs w:val="0"/>
                <w:color w:val="000000"/>
                <w:kern w:val="0"/>
                <w:sz w:val="21"/>
                <w:szCs w:val="21"/>
                <w:u w:val="none"/>
                <w:lang w:val="en-US" w:eastAsia="zh-CN" w:bidi="ar"/>
              </w:rPr>
            </w:pPr>
          </w:p>
        </w:tc>
      </w:tr>
      <w:tr w14:paraId="017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557904B">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55" w:type="dxa"/>
            <w:vAlign w:val="center"/>
          </w:tcPr>
          <w:p w14:paraId="0094435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704C599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3E80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柜体高75-80cm环保欧松板。含进出水泵，过滤槽，支架式全光谱水草氧气灯，雾化器，循环水系管料及调试等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E9605AA">
            <w:pPr>
              <w:pStyle w:val="16"/>
              <w:rPr>
                <w:rFonts w:hint="eastAsia" w:ascii="宋体" w:hAnsi="宋体" w:eastAsia="宋体" w:cs="宋体"/>
                <w:i w:val="0"/>
                <w:iCs w:val="0"/>
                <w:color w:val="000000"/>
                <w:kern w:val="0"/>
                <w:sz w:val="21"/>
                <w:szCs w:val="21"/>
                <w:u w:val="none"/>
                <w:lang w:val="en-US" w:eastAsia="zh-CN" w:bidi="ar"/>
              </w:rPr>
            </w:pPr>
          </w:p>
        </w:tc>
      </w:tr>
      <w:tr w14:paraId="35ED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9BBD1D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5" w:type="dxa"/>
            <w:vAlign w:val="center"/>
          </w:tcPr>
          <w:p w14:paraId="4BE580E3">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4C606F6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26D1E4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柜体高75-80cm环保欧松板。含进出水泵，过滤槽，支架式全光谱水草氧气灯，雾化器，循环水系管料及调试等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6FC27575">
            <w:pPr>
              <w:pStyle w:val="16"/>
              <w:rPr>
                <w:rFonts w:hint="eastAsia" w:ascii="宋体" w:hAnsi="宋体" w:eastAsia="宋体" w:cs="宋体"/>
                <w:i w:val="0"/>
                <w:iCs w:val="0"/>
                <w:color w:val="000000"/>
                <w:kern w:val="0"/>
                <w:sz w:val="21"/>
                <w:szCs w:val="21"/>
                <w:u w:val="none"/>
                <w:lang w:val="en-US" w:eastAsia="zh-CN" w:bidi="ar"/>
              </w:rPr>
            </w:pPr>
          </w:p>
        </w:tc>
      </w:tr>
      <w:tr w14:paraId="51E6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8A8CD01">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5" w:type="dxa"/>
            <w:vAlign w:val="center"/>
          </w:tcPr>
          <w:p w14:paraId="0C6E6A06">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5BBDB98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7457786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柜体高75-80cm环保欧松板。含进出水泵，过滤槽，支架式全光谱水草氧气灯，雾化器，循环水系管料</w:t>
            </w:r>
            <w:r>
              <w:rPr>
                <w:rFonts w:hint="eastAsia" w:ascii="宋体" w:hAnsi="宋体" w:cs="宋体"/>
                <w:i w:val="0"/>
                <w:iCs w:val="0"/>
                <w:color w:val="000000"/>
                <w:kern w:val="0"/>
                <w:sz w:val="21"/>
                <w:szCs w:val="21"/>
                <w:u w:val="none"/>
                <w:lang w:val="en-US" w:eastAsia="zh-CN" w:bidi="ar"/>
              </w:rPr>
              <w:t>及调试</w:t>
            </w:r>
            <w:r>
              <w:rPr>
                <w:rFonts w:hint="eastAsia" w:ascii="宋体" w:hAnsi="宋体" w:eastAsia="宋体" w:cs="宋体"/>
                <w:i w:val="0"/>
                <w:iCs w:val="0"/>
                <w:color w:val="000000"/>
                <w:kern w:val="0"/>
                <w:sz w:val="21"/>
                <w:szCs w:val="21"/>
                <w:u w:val="none"/>
                <w:lang w:val="en-US" w:eastAsia="zh-CN" w:bidi="ar"/>
              </w:rPr>
              <w:t>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158DFB5">
            <w:pPr>
              <w:pStyle w:val="16"/>
              <w:rPr>
                <w:rFonts w:hint="eastAsia" w:ascii="宋体" w:hAnsi="宋体" w:eastAsia="宋体" w:cs="宋体"/>
                <w:i w:val="0"/>
                <w:iCs w:val="0"/>
                <w:color w:val="000000"/>
                <w:kern w:val="0"/>
                <w:sz w:val="21"/>
                <w:szCs w:val="21"/>
                <w:u w:val="none"/>
                <w:lang w:val="en-US" w:eastAsia="zh-CN" w:bidi="ar"/>
              </w:rPr>
            </w:pPr>
          </w:p>
        </w:tc>
      </w:tr>
      <w:tr w14:paraId="0DD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547AD64A">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4</w:t>
            </w:r>
          </w:p>
        </w:tc>
        <w:tc>
          <w:tcPr>
            <w:tcW w:w="955" w:type="dxa"/>
            <w:vAlign w:val="center"/>
          </w:tcPr>
          <w:p w14:paraId="2D4A9EBB">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7278" w:type="dxa"/>
            <w:vAlign w:val="center"/>
          </w:tcPr>
          <w:p w14:paraId="0953100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教室靠近走廊面墙壁做多功能产品展示柜，教室后面墙做整体式多功能产品展示柜，主体颜色简约淡雅型（板材颜色待定）整体美观大方；柜体下面做双开式门，尺寸高约75cm,深度约60cm，上面整体式柜体做双开式门，尺寸高约55cm，深度约60cm；中间做产品展示区，做相应隔断及背板，展示区做白色LED射灯，部分立柱做板材包边；板材为节能环保型杉木生态板。</w:t>
            </w:r>
          </w:p>
        </w:tc>
        <w:tc>
          <w:tcPr>
            <w:tcW w:w="560" w:type="dxa"/>
            <w:vAlign w:val="top"/>
          </w:tcPr>
          <w:p w14:paraId="39D2408E">
            <w:pPr>
              <w:pStyle w:val="16"/>
              <w:rPr>
                <w:rFonts w:hint="eastAsia" w:ascii="宋体" w:hAnsi="宋体" w:eastAsia="宋体" w:cs="宋体"/>
                <w:i w:val="0"/>
                <w:iCs w:val="0"/>
                <w:color w:val="000000"/>
                <w:kern w:val="0"/>
                <w:sz w:val="21"/>
                <w:szCs w:val="21"/>
                <w:u w:val="none"/>
                <w:lang w:val="en-US" w:eastAsia="zh-CN" w:bidi="ar"/>
              </w:rPr>
            </w:pPr>
          </w:p>
        </w:tc>
      </w:tr>
      <w:tr w14:paraId="5AF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C00663F">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p>
        </w:tc>
        <w:tc>
          <w:tcPr>
            <w:tcW w:w="955" w:type="dxa"/>
            <w:vAlign w:val="center"/>
          </w:tcPr>
          <w:p w14:paraId="77B66E67">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7278" w:type="dxa"/>
            <w:vAlign w:val="center"/>
          </w:tcPr>
          <w:p w14:paraId="303D3CE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尺寸250*100*75cm或（80cm）暂定，加厚支架，环保木质桌面，和多功能产品展示柜颜色一致，（颜色待定）顶面安装射灯。</w:t>
            </w:r>
          </w:p>
        </w:tc>
        <w:tc>
          <w:tcPr>
            <w:tcW w:w="560" w:type="dxa"/>
            <w:vAlign w:val="top"/>
          </w:tcPr>
          <w:p w14:paraId="49108308">
            <w:pPr>
              <w:pStyle w:val="16"/>
              <w:rPr>
                <w:rFonts w:hint="eastAsia" w:ascii="宋体" w:hAnsi="宋体" w:eastAsia="宋体" w:cs="宋体"/>
                <w:i w:val="0"/>
                <w:iCs w:val="0"/>
                <w:color w:val="000000"/>
                <w:kern w:val="0"/>
                <w:sz w:val="21"/>
                <w:szCs w:val="21"/>
                <w:u w:val="none"/>
                <w:lang w:val="en-US" w:eastAsia="zh-CN" w:bidi="ar"/>
              </w:rPr>
            </w:pPr>
          </w:p>
        </w:tc>
      </w:tr>
      <w:tr w14:paraId="4E2D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1E69419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6</w:t>
            </w:r>
          </w:p>
        </w:tc>
        <w:tc>
          <w:tcPr>
            <w:tcW w:w="955" w:type="dxa"/>
            <w:vAlign w:val="center"/>
          </w:tcPr>
          <w:p w14:paraId="0FB8A314">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w:t>
            </w:r>
          </w:p>
        </w:tc>
        <w:tc>
          <w:tcPr>
            <w:tcW w:w="7278" w:type="dxa"/>
            <w:vAlign w:val="center"/>
          </w:tcPr>
          <w:p w14:paraId="4A5DFE3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采用单层加厚布艺窗帘，根据实际装修风格定制（供货前提供样品及配色版，颜色由采购人选定）</w:t>
            </w:r>
          </w:p>
        </w:tc>
        <w:tc>
          <w:tcPr>
            <w:tcW w:w="560" w:type="dxa"/>
            <w:vAlign w:val="top"/>
          </w:tcPr>
          <w:p w14:paraId="7D002290">
            <w:pPr>
              <w:pStyle w:val="16"/>
              <w:rPr>
                <w:rFonts w:hint="eastAsia" w:ascii="宋体" w:hAnsi="宋体" w:eastAsia="宋体" w:cs="宋体"/>
                <w:i w:val="0"/>
                <w:iCs w:val="0"/>
                <w:color w:val="000000"/>
                <w:kern w:val="0"/>
                <w:sz w:val="21"/>
                <w:szCs w:val="21"/>
                <w:u w:val="none"/>
                <w:lang w:val="en-US" w:eastAsia="zh-CN" w:bidi="ar"/>
              </w:rPr>
            </w:pPr>
          </w:p>
        </w:tc>
      </w:tr>
      <w:tr w14:paraId="14C0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7322099">
            <w:pPr>
              <w:pStyle w:val="16"/>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17</w:t>
            </w:r>
          </w:p>
        </w:tc>
        <w:tc>
          <w:tcPr>
            <w:tcW w:w="955" w:type="dxa"/>
            <w:vAlign w:val="center"/>
          </w:tcPr>
          <w:p w14:paraId="420A7D49">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w:t>
            </w:r>
            <w:r>
              <w:rPr>
                <w:rFonts w:hint="eastAsia" w:ascii="宋体" w:hAnsi="宋体" w:cs="宋体"/>
                <w:i w:val="0"/>
                <w:iCs w:val="0"/>
                <w:color w:val="000000"/>
                <w:kern w:val="0"/>
                <w:sz w:val="21"/>
                <w:szCs w:val="21"/>
                <w:u w:val="none"/>
                <w:lang w:val="en-US" w:eastAsia="zh-CN" w:bidi="ar"/>
              </w:rPr>
              <w:t>容器设备</w:t>
            </w:r>
          </w:p>
        </w:tc>
        <w:tc>
          <w:tcPr>
            <w:tcW w:w="7278" w:type="dxa"/>
            <w:vAlign w:val="center"/>
          </w:tcPr>
          <w:p w14:paraId="1AC2136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中式盆景托盘，尺寸60*30*30cm，水泥复合材质，5个；</w:t>
            </w:r>
          </w:p>
          <w:p w14:paraId="122A92BD">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中式盆景托盘，尺寸直径为60cm,高30cm，水泥复合材质，5个；</w:t>
            </w:r>
          </w:p>
          <w:p w14:paraId="1EDE32C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生态瓶，尺寸217mm*260mm，体积6L,自带补光灯（DC 5V 5W），高硼硅玻璃材质，5个；</w:t>
            </w:r>
          </w:p>
          <w:p w14:paraId="06F8CDBC">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植物容器，尺寸175mm（最大直径）*230mm（高）,普通玻璃材质，10个；</w:t>
            </w:r>
          </w:p>
          <w:p w14:paraId="1B8696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开口陶罐容器，尺寸25*14*18cm,6个；</w:t>
            </w:r>
          </w:p>
          <w:p w14:paraId="732D7F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苔藓室内装饰组合造景4套</w:t>
            </w:r>
            <w:r>
              <w:rPr>
                <w:rFonts w:hint="eastAsia" w:ascii="宋体" w:hAnsi="宋体" w:cs="宋体"/>
                <w:i w:val="0"/>
                <w:iCs w:val="0"/>
                <w:color w:val="000000"/>
                <w:kern w:val="0"/>
                <w:sz w:val="21"/>
                <w:szCs w:val="21"/>
                <w:u w:val="none"/>
                <w:lang w:val="en-US" w:eastAsia="zh-CN" w:bidi="ar"/>
              </w:rPr>
              <w:t>，包</w:t>
            </w:r>
            <w:r>
              <w:rPr>
                <w:rFonts w:hint="eastAsia" w:ascii="宋体" w:hAnsi="宋体" w:eastAsia="宋体" w:cs="宋体"/>
                <w:i w:val="0"/>
                <w:iCs w:val="0"/>
                <w:color w:val="000000"/>
                <w:kern w:val="0"/>
                <w:sz w:val="21"/>
                <w:szCs w:val="21"/>
                <w:u w:val="none"/>
                <w:lang w:val="en-US" w:eastAsia="zh-CN" w:bidi="ar"/>
              </w:rPr>
              <w:t>含泡沫底座、石砾、仿真青苔、仿真植物</w:t>
            </w:r>
            <w:r>
              <w:rPr>
                <w:rFonts w:hint="eastAsia" w:ascii="宋体" w:hAnsi="宋体" w:cs="宋体"/>
                <w:i w:val="0"/>
                <w:iCs w:val="0"/>
                <w:color w:val="000000"/>
                <w:kern w:val="0"/>
                <w:sz w:val="21"/>
                <w:szCs w:val="21"/>
                <w:u w:val="none"/>
                <w:lang w:val="en-US" w:eastAsia="zh-CN" w:bidi="ar"/>
              </w:rPr>
              <w:t>及骨架胶20瓶（每瓶容量100g）、</w:t>
            </w:r>
            <w:r>
              <w:rPr>
                <w:rFonts w:hint="eastAsia" w:ascii="宋体" w:hAnsi="宋体" w:eastAsia="宋体" w:cs="宋体"/>
                <w:i w:val="0"/>
                <w:iCs w:val="0"/>
                <w:color w:val="000000"/>
                <w:kern w:val="0"/>
                <w:sz w:val="21"/>
                <w:szCs w:val="21"/>
                <w:u w:val="none"/>
                <w:lang w:val="en-US" w:eastAsia="zh-CN" w:bidi="ar"/>
              </w:rPr>
              <w:t>人工驯化狭叶白发藓</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平方米</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棵早乙女杜鹃</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棵九里香,</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棵紫檀</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棵蕨类植物</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135058D">
            <w:pPr>
              <w:pStyle w:val="16"/>
              <w:rPr>
                <w:rFonts w:hint="eastAsia" w:ascii="宋体" w:hAnsi="宋体" w:eastAsia="宋体" w:cs="宋体"/>
                <w:i w:val="0"/>
                <w:iCs w:val="0"/>
                <w:color w:val="000000"/>
                <w:kern w:val="0"/>
                <w:sz w:val="21"/>
                <w:szCs w:val="21"/>
                <w:u w:val="none"/>
                <w:lang w:val="en-US" w:eastAsia="zh-CN" w:bidi="ar"/>
              </w:rPr>
            </w:pPr>
          </w:p>
        </w:tc>
      </w:tr>
    </w:tbl>
    <w:p w14:paraId="6D3184A5">
      <w:pPr>
        <w:spacing w:before="179" w:line="376" w:lineRule="auto"/>
        <w:ind w:left="16" w:right="470"/>
        <w:jc w:val="both"/>
        <w:rPr>
          <w:rFonts w:hint="default" w:ascii="宋体" w:hAnsi="宋体" w:eastAsia="宋体" w:cs="宋体"/>
          <w:b/>
          <w:kern w:val="0"/>
          <w:sz w:val="24"/>
          <w:lang w:val="en-US" w:eastAsia="zh-CN"/>
        </w:rPr>
      </w:pPr>
      <w:r>
        <w:rPr>
          <w:rFonts w:ascii="宋体" w:hAnsi="宋体" w:eastAsia="宋体" w:cs="宋体"/>
          <w:b/>
          <w:bCs/>
          <w:spacing w:val="-3"/>
          <w:sz w:val="22"/>
          <w:szCs w:val="22"/>
        </w:rPr>
        <w:t>注：1、以上技术参数要求中如有引用的设备（货物</w:t>
      </w:r>
      <w:r>
        <w:rPr>
          <w:rFonts w:ascii="宋体" w:hAnsi="宋体" w:eastAsia="宋体" w:cs="宋体"/>
          <w:b/>
          <w:bCs/>
          <w:spacing w:val="-4"/>
          <w:sz w:val="22"/>
          <w:szCs w:val="22"/>
        </w:rPr>
        <w:t>）的品牌、规格、型号的仅供参考，</w:t>
      </w:r>
      <w:r>
        <w:rPr>
          <w:rFonts w:ascii="宋体" w:hAnsi="宋体" w:eastAsia="宋体" w:cs="宋体"/>
          <w:b/>
          <w:bCs/>
          <w:spacing w:val="-3"/>
          <w:sz w:val="22"/>
          <w:szCs w:val="22"/>
        </w:rPr>
        <w:t>报价产品必须 实质上满足或优于所要求的技术参数。 2、所有带“★ ” 项必须全部满足或者优于，否则视为无效报价。</w:t>
      </w:r>
      <w:r>
        <w:rPr>
          <w:rFonts w:hint="eastAsia" w:ascii="宋体" w:hAnsi="宋体" w:eastAsia="宋体" w:cs="宋体"/>
          <w:b/>
          <w:bCs/>
          <w:spacing w:val="-3"/>
          <w:sz w:val="22"/>
          <w:szCs w:val="22"/>
          <w:lang w:val="en-US" w:eastAsia="zh-CN"/>
        </w:rPr>
        <w:t>3、供货商需要把微景观实训室原模型室物品搬运至四楼模型室；国赛桌椅从指定位置搬到新建设的微景观实训室并安装调试。</w:t>
      </w:r>
    </w:p>
    <w:p w14:paraId="488451F1">
      <w:pPr>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2、实施要求</w:t>
      </w:r>
    </w:p>
    <w:p w14:paraId="6F291CD8">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（1）所有设备必须是厂商原装、全新的产品，符合国家及该产品的出厂标准及相关认证规定的。</w:t>
      </w:r>
    </w:p>
    <w:p w14:paraId="61F02DC5">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（2）设备外观清洁，标记编号以及盘面显示等字体清晰，明确。</w:t>
      </w:r>
    </w:p>
    <w:p w14:paraId="31ACB0DD">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对于影响设备正常工作的必要组成部分，无论在技术规范中指出与否，报价人都应在报价文件中明确列出。</w:t>
      </w:r>
    </w:p>
    <w:p w14:paraId="63AEC992">
      <w:pPr>
        <w:snapToGrid w:val="0"/>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（3）所有设备提供出厂合格证等质量证明文件。</w:t>
      </w:r>
    </w:p>
    <w:p w14:paraId="2C960D0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所投的产品必须是在中国范围内合法销售，原装、全新、并完全符合用户要求的产品。必须附产品原产地标签、合格证及其他相关的资料。货物完好，物品配件齐全。</w:t>
      </w:r>
    </w:p>
    <w:p w14:paraId="660478E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3、质量、服务要求</w:t>
      </w:r>
    </w:p>
    <w:p w14:paraId="0CA6FD46">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（1）报价人报价时所提供的设备如在实际供货时已经废型，则中标供应商必须用供货时该厂家的最新产品提供给用户单位，其性能指标不得低于所投设备，并且价格不变。</w:t>
      </w:r>
    </w:p>
    <w:p w14:paraId="7D71E931">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（2）所投设备质保期内免费上门服务。负责终身维修,保证有充足的部件和配件,超过保修期后,如需更换部件或配件时,将以不高于成本价为客户进行有偿收费服务。</w:t>
      </w:r>
    </w:p>
    <w:p w14:paraId="25DBB4A0">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4、其他要求</w:t>
      </w:r>
    </w:p>
    <w:p w14:paraId="13CEC2BE">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（1）中标人负责根据本项目内容各个不同的安装地点,将货物材料送到现场过程中的全部运输，包括装卸车、货物现场的搬运。</w:t>
      </w:r>
    </w:p>
    <w:p w14:paraId="4789B17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（2）各种设备，必须提供装箱清单，按装箱清单验收货物。</w:t>
      </w:r>
    </w:p>
    <w:p w14:paraId="3CC4CE40">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（3）货物在现场的保管由中标人负责，直至项目安装、验收完毕。</w:t>
      </w:r>
    </w:p>
    <w:p w14:paraId="724D15A9">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（4）货物在安装调试验收合格前的保险由中标人负责，中标人负责其派出的现场服务人员人身意外保险。</w:t>
      </w:r>
    </w:p>
    <w:p w14:paraId="7B3927CE">
      <w:pPr>
        <w:snapToGrid w:val="0"/>
        <w:spacing w:line="440" w:lineRule="exact"/>
        <w:ind w:firstLine="480"/>
        <w:rPr>
          <w:rFonts w:ascii="宋体" w:hAnsi="宋体" w:cs="宋体"/>
          <w:bCs/>
          <w:color w:val="auto"/>
          <w:kern w:val="0"/>
          <w:sz w:val="24"/>
        </w:rPr>
      </w:pPr>
      <w:r>
        <w:rPr>
          <w:rFonts w:hint="eastAsia" w:ascii="宋体" w:hAnsi="宋体" w:cs="宋体"/>
          <w:b/>
          <w:color w:val="auto"/>
          <w:kern w:val="0"/>
          <w:sz w:val="24"/>
        </w:rPr>
        <w:t>五、商务需求（合同主要条款）</w:t>
      </w:r>
    </w:p>
    <w:p w14:paraId="3F5EFDB7">
      <w:pPr>
        <w:snapToGrid w:val="0"/>
        <w:spacing w:line="440" w:lineRule="exact"/>
        <w:ind w:firstLine="480"/>
        <w:rPr>
          <w:rFonts w:hint="eastAsia" w:ascii="宋体" w:hAnsi="宋体" w:cs="宋体"/>
          <w:bCs/>
          <w:color w:val="auto"/>
          <w:kern w:val="0"/>
          <w:sz w:val="24"/>
        </w:rPr>
      </w:pPr>
      <w:r>
        <w:rPr>
          <w:rFonts w:hint="eastAsia" w:ascii="宋体" w:hAnsi="宋体" w:cs="宋体"/>
          <w:b/>
          <w:color w:val="auto"/>
          <w:kern w:val="0"/>
          <w:sz w:val="24"/>
        </w:rPr>
        <w:t>1、供货要求</w:t>
      </w:r>
    </w:p>
    <w:p w14:paraId="45DD2972">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时间：签订合同的</w:t>
      </w:r>
      <w:r>
        <w:rPr>
          <w:rFonts w:hint="eastAsia" w:ascii="宋体" w:hAnsi="宋体" w:eastAsia="宋体" w:cs="Times New Roman"/>
          <w:kern w:val="2"/>
          <w:sz w:val="24"/>
          <w:szCs w:val="24"/>
          <w:lang w:val="en-US" w:eastAsia="zh-CN" w:bidi="ar-SA"/>
        </w:rPr>
        <w:t>30天内安装调试完毕并交付使用</w:t>
      </w:r>
      <w:r>
        <w:rPr>
          <w:rFonts w:hint="eastAsia" w:ascii="宋体" w:hAnsi="宋体" w:cs="宋体"/>
          <w:bCs/>
          <w:color w:val="auto"/>
          <w:kern w:val="0"/>
          <w:sz w:val="24"/>
        </w:rPr>
        <w:t>。</w:t>
      </w:r>
    </w:p>
    <w:p w14:paraId="39365DE1">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地点：池州职业技术学院指定地点；</w:t>
      </w:r>
    </w:p>
    <w:p w14:paraId="0D6BDCB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包装要求:所有设备必须包装完好，涉及的所有仪器设备等必须原厂包装，不得拆封。</w:t>
      </w:r>
    </w:p>
    <w:p w14:paraId="4871E37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2、安装调试</w:t>
      </w:r>
    </w:p>
    <w:p w14:paraId="6589072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（1）中标人负责到用户指定的安装地点进行安装调试。</w:t>
      </w:r>
    </w:p>
    <w:p w14:paraId="3357DE75">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（2）中标人应设安装负责人，负责安装协调管理工作。</w:t>
      </w:r>
    </w:p>
    <w:p w14:paraId="03918B6C">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（3）安装所需工具设施物料由中标人自备、自费运到现场，完工后自费搬走。</w:t>
      </w:r>
    </w:p>
    <w:p w14:paraId="12038508">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（4）调试：按国家相关验收规范进行。</w:t>
      </w:r>
    </w:p>
    <w:p w14:paraId="6A70FF6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（5）仪器设备的拆箱、安装、通电、调试等项工作由中标人负责，但必须在采购人指定人员的参与下进行。调试的原始记录须经各方签字后作为验收的文件之一。</w:t>
      </w:r>
    </w:p>
    <w:p w14:paraId="01E87F3B">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3、检测验收</w:t>
      </w:r>
    </w:p>
    <w:p w14:paraId="6DE8E74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（1）投标人货物安装调试合格后，经过双方检验认可，签署验收报告，产品保修期自验收合格之日起算，由投标人提供产品保修文件。</w:t>
      </w:r>
    </w:p>
    <w:p w14:paraId="329A8D8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（2）当满足以下条件时，采购单位才向中标人签发货物验收报告：</w:t>
      </w:r>
    </w:p>
    <w:p w14:paraId="00EB4EBB">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1）中标人已按照合同规定提供了全部产品及完整的技术资料。</w:t>
      </w:r>
    </w:p>
    <w:p w14:paraId="340EF4A9">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2）货物符合招标文件技术规格书的要求，性能满足要求。</w:t>
      </w:r>
    </w:p>
    <w:p w14:paraId="7A2114D0">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3）货物具备产品合格证。</w:t>
      </w:r>
    </w:p>
    <w:p w14:paraId="1BA5B14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4、培训</w:t>
      </w:r>
    </w:p>
    <w:p w14:paraId="3AB29B5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（1）中标单位负责派技术熟练人员为采购单位进行设备使用操作培训，使采购单位可熟练并自行使用相关设备与系统，为满足日常教学需求中标单位需提供不低于10次工程师上门教学服务。</w:t>
      </w:r>
    </w:p>
    <w:p w14:paraId="0779BF7D">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（2）投标人在投标文件中应提出详细的培训内容和培训计划。</w:t>
      </w:r>
    </w:p>
    <w:p w14:paraId="6FA45E4F">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（3）培训内容与计划应包括产品的安装、测试、操作、维护、软件系统培训（包括相关理论知识）。</w:t>
      </w:r>
    </w:p>
    <w:p w14:paraId="3EF22AE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5、售后服务</w:t>
      </w:r>
    </w:p>
    <w:p w14:paraId="06831497">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（1）质保期</w:t>
      </w:r>
    </w:p>
    <w:p w14:paraId="36E5010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以上产品必须全部为原装正版产品，投标人须对提供的所有仪器设备提供不少于1年的质保期及免费技术支持服务。由此产生的一切费用均由中标供应商承担。保修期间用户所购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14:paraId="5CDA9357">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（2）故障响应</w:t>
      </w:r>
    </w:p>
    <w:p w14:paraId="01F26CB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对采购单位的服务通知，供应商在接报后2小时内响应，24小时内到达现场，48小时内处理完毕。若在48小时内仍未能有效解决，供应商须免费提供同档次的设备予采购单位临时使用。</w:t>
      </w:r>
    </w:p>
    <w:p w14:paraId="73D4D729">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6、付款方式</w:t>
      </w:r>
    </w:p>
    <w:p w14:paraId="023B8914">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货物供货完毕，且验收合格后，一次性付清。</w:t>
      </w:r>
    </w:p>
    <w:p w14:paraId="4BECE1CA">
      <w:pPr>
        <w:snapToGrid w:val="0"/>
        <w:spacing w:line="440" w:lineRule="exact"/>
        <w:ind w:left="360"/>
        <w:rPr>
          <w:color w:val="auto"/>
        </w:rPr>
      </w:pPr>
      <w:r>
        <w:rPr>
          <w:rFonts w:hint="eastAsia" w:ascii="宋体" w:hAnsi="宋体" w:cs="宋体"/>
          <w:b/>
          <w:color w:val="auto"/>
          <w:kern w:val="0"/>
          <w:sz w:val="24"/>
        </w:rPr>
        <w:t>六</w:t>
      </w:r>
      <w:r>
        <w:rPr>
          <w:rFonts w:ascii="宋体" w:hAnsi="宋体" w:cs="宋体"/>
          <w:b/>
          <w:color w:val="auto"/>
          <w:kern w:val="0"/>
          <w:sz w:val="24"/>
        </w:rPr>
        <w:t>、</w:t>
      </w:r>
      <w:r>
        <w:rPr>
          <w:rFonts w:hint="eastAsia" w:ascii="宋体" w:hAnsi="宋体" w:cs="宋体"/>
          <w:b/>
          <w:color w:val="auto"/>
          <w:kern w:val="0"/>
          <w:sz w:val="24"/>
        </w:rPr>
        <w:t>评标办法</w:t>
      </w:r>
    </w:p>
    <w:p w14:paraId="23FF21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pPr>
      <w:r>
        <w:rPr>
          <w:rFonts w:hint="eastAsia" w:ascii="宋体" w:hAnsi="宋体" w:cs="宋体"/>
          <w:bCs/>
          <w:color w:val="auto"/>
          <w:kern w:val="0"/>
          <w:sz w:val="24"/>
          <w:lang w:val="en-US" w:eastAsia="zh-CN"/>
        </w:rPr>
        <w:t>采购方式采取询价采购。在满足需求书要求的前提下，报价最低的供应商为中标人，如满足需求书要求的前提下报价相同则采用抽签的方式确定中标人。</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9D90">
    <w:pPr>
      <w:pStyle w:val="4"/>
      <w:ind w:right="315" w:rightChars="150"/>
      <w:jc w:val="center"/>
      <w:rPr>
        <w:rFonts w:hint="eastAsia"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BFF7">
    <w:pPr>
      <w:pStyle w:val="4"/>
      <w:ind w:firstLine="360" w:firstLineChars="150"/>
      <w:jc w:val="center"/>
      <w:rPr>
        <w:rFonts w:hint="eastAsia"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1B458"/>
    <w:multiLevelType w:val="singleLevel"/>
    <w:tmpl w:val="5B11B45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kzZTZkMDk2ZDExNDYyZDQzMDQ2MTdmZmMyZjMifQ=="/>
  </w:docVars>
  <w:rsids>
    <w:rsidRoot w:val="6C9649D2"/>
    <w:rsid w:val="021D229B"/>
    <w:rsid w:val="0E8006AC"/>
    <w:rsid w:val="0E956D7D"/>
    <w:rsid w:val="101C1B54"/>
    <w:rsid w:val="1CF77BE9"/>
    <w:rsid w:val="203F517B"/>
    <w:rsid w:val="22574B3B"/>
    <w:rsid w:val="250B2507"/>
    <w:rsid w:val="25DC3CA4"/>
    <w:rsid w:val="29B87CEA"/>
    <w:rsid w:val="2CE22857"/>
    <w:rsid w:val="2D5E4540"/>
    <w:rsid w:val="32F81DE5"/>
    <w:rsid w:val="39EE487A"/>
    <w:rsid w:val="4800556C"/>
    <w:rsid w:val="48B545A9"/>
    <w:rsid w:val="4CEA0444"/>
    <w:rsid w:val="59DF6BA6"/>
    <w:rsid w:val="5A7D2D66"/>
    <w:rsid w:val="5CB00EB7"/>
    <w:rsid w:val="6B2111EB"/>
    <w:rsid w:val="6C9649D2"/>
    <w:rsid w:val="779F4C15"/>
    <w:rsid w:val="7C217CCA"/>
    <w:rsid w:val="7FB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jc w:val="center"/>
      <w:outlineLvl w:val="0"/>
    </w:pPr>
    <w:rPr>
      <w:rFonts w:asciiTheme="minorAscii" w:hAnsiTheme="minorAscii" w:eastAsiaTheme="minorEastAsia" w:cstheme="minorBidi"/>
      <w:b/>
      <w:kern w:val="44"/>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11"/>
    <w:basedOn w:val="6"/>
    <w:qFormat/>
    <w:uiPriority w:val="0"/>
    <w:rPr>
      <w:rFonts w:hint="default" w:ascii="Times New Roman" w:hAnsi="Times New Roman" w:cs="Times New Roman"/>
      <w:color w:val="000000"/>
      <w:sz w:val="20"/>
      <w:szCs w:val="20"/>
      <w:u w:val="none"/>
    </w:rPr>
  </w:style>
  <w:style w:type="character" w:customStyle="1" w:styleId="9">
    <w:name w:val="font61"/>
    <w:basedOn w:val="6"/>
    <w:qFormat/>
    <w:uiPriority w:val="0"/>
    <w:rPr>
      <w:rFonts w:hint="default" w:ascii="Times New Roman" w:hAnsi="Times New Roman" w:cs="Times New Roman"/>
      <w:color w:val="000000"/>
      <w:sz w:val="20"/>
      <w:szCs w:val="20"/>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51"/>
    <w:basedOn w:val="6"/>
    <w:qFormat/>
    <w:uiPriority w:val="0"/>
    <w:rPr>
      <w:rFonts w:hint="eastAsia" w:ascii="宋体" w:hAnsi="宋体" w:eastAsia="宋体" w:cs="宋体"/>
      <w:color w:val="000000"/>
      <w:sz w:val="21"/>
      <w:szCs w:val="21"/>
      <w:u w:val="none"/>
    </w:rPr>
  </w:style>
  <w:style w:type="character" w:customStyle="1" w:styleId="12">
    <w:name w:val="font81"/>
    <w:basedOn w:val="6"/>
    <w:qFormat/>
    <w:uiPriority w:val="0"/>
    <w:rPr>
      <w:rFonts w:hint="default" w:ascii="Times New Roman" w:hAnsi="Times New Roman" w:cs="Times New Roman"/>
      <w:color w:val="000000"/>
      <w:sz w:val="24"/>
      <w:szCs w:val="24"/>
      <w:u w:val="none"/>
    </w:rPr>
  </w:style>
  <w:style w:type="character" w:customStyle="1" w:styleId="13">
    <w:name w:val="font41"/>
    <w:basedOn w:val="6"/>
    <w:qFormat/>
    <w:uiPriority w:val="0"/>
    <w:rPr>
      <w:rFonts w:hint="default" w:ascii="Times New Roman" w:hAnsi="Times New Roman" w:cs="Times New Roman"/>
      <w:color w:val="00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6383</Words>
  <Characters>7111</Characters>
  <Lines>0</Lines>
  <Paragraphs>0</Paragraphs>
  <TotalTime>23</TotalTime>
  <ScaleCrop>false</ScaleCrop>
  <LinksUpToDate>false</LinksUpToDate>
  <CharactersWithSpaces>7168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2022-10-08T02:20:00Z</dcterms:created>
  <dc:creator>小武</dc:creator>
  <cp:lastModifiedBy>8447924</cp:lastModifiedBy>
  <dcterms:modified xsi:type="dcterms:W3CDTF">2024-12-16T02:04:27Z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C2F07E9F5932496A850A2E04F1248932_13</vt:lpwstr>
  </property>
</Properties>
</file>